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0F32" w14:textId="77777777" w:rsidR="0062052F" w:rsidRPr="00F91E4B" w:rsidRDefault="00984E68" w:rsidP="000B04E9">
      <w:pPr>
        <w:pStyle w:val="Heading1"/>
        <w:spacing w:line="276" w:lineRule="auto"/>
        <w:jc w:val="center"/>
        <w:rPr>
          <w:color w:val="auto"/>
          <w:sz w:val="28"/>
          <w:szCs w:val="28"/>
        </w:rPr>
      </w:pPr>
      <w:r w:rsidRPr="00F91E4B">
        <w:rPr>
          <w:color w:val="auto"/>
          <w:sz w:val="28"/>
          <w:szCs w:val="28"/>
        </w:rPr>
        <w:t>Phụ lục</w:t>
      </w:r>
    </w:p>
    <w:p w14:paraId="76A48A1E" w14:textId="77777777" w:rsidR="00F91E4B" w:rsidRDefault="0042184C" w:rsidP="00F91E4B">
      <w:pPr>
        <w:pStyle w:val="Heading1"/>
        <w:spacing w:before="0" w:after="0"/>
        <w:jc w:val="center"/>
        <w:rPr>
          <w:color w:val="auto"/>
          <w:sz w:val="28"/>
          <w:szCs w:val="28"/>
        </w:rPr>
      </w:pPr>
      <w:r w:rsidRPr="00F91E4B">
        <w:rPr>
          <w:color w:val="auto"/>
          <w:sz w:val="28"/>
          <w:szCs w:val="28"/>
        </w:rPr>
        <w:t>DANH MỤC VÀ QUY TRÌNH NỘI BỘ</w:t>
      </w:r>
      <w:r w:rsidR="00F91E4B">
        <w:rPr>
          <w:color w:val="auto"/>
          <w:sz w:val="28"/>
          <w:szCs w:val="28"/>
        </w:rPr>
        <w:t xml:space="preserve"> </w:t>
      </w:r>
      <w:r w:rsidRPr="00F91E4B">
        <w:rPr>
          <w:color w:val="auto"/>
          <w:sz w:val="28"/>
          <w:szCs w:val="28"/>
        </w:rPr>
        <w:t>GIẢI QUYẾT</w:t>
      </w:r>
    </w:p>
    <w:p w14:paraId="33236ACB" w14:textId="77777777" w:rsidR="00F91E4B" w:rsidRDefault="0042184C" w:rsidP="00F91E4B">
      <w:pPr>
        <w:pStyle w:val="Heading1"/>
        <w:spacing w:before="0" w:after="0"/>
        <w:jc w:val="center"/>
        <w:rPr>
          <w:color w:val="auto"/>
          <w:sz w:val="28"/>
          <w:szCs w:val="28"/>
        </w:rPr>
      </w:pPr>
      <w:r w:rsidRPr="00F91E4B">
        <w:rPr>
          <w:color w:val="auto"/>
          <w:sz w:val="28"/>
          <w:szCs w:val="28"/>
        </w:rPr>
        <w:t xml:space="preserve"> THỦ TỤC HÀNH CHÍNH MỚI BAN HÀNH</w:t>
      </w:r>
      <w:r w:rsidR="00F91E4B">
        <w:rPr>
          <w:color w:val="auto"/>
          <w:sz w:val="28"/>
          <w:szCs w:val="28"/>
        </w:rPr>
        <w:t xml:space="preserve">, </w:t>
      </w:r>
      <w:r w:rsidRPr="00F91E4B">
        <w:rPr>
          <w:color w:val="auto"/>
          <w:sz w:val="28"/>
          <w:szCs w:val="28"/>
        </w:rPr>
        <w:t>THỦ TỤC</w:t>
      </w:r>
      <w:r w:rsidR="00F91E4B">
        <w:rPr>
          <w:color w:val="auto"/>
          <w:sz w:val="28"/>
          <w:szCs w:val="28"/>
        </w:rPr>
        <w:t xml:space="preserve"> </w:t>
      </w:r>
      <w:r w:rsidRPr="00F91E4B">
        <w:rPr>
          <w:color w:val="auto"/>
          <w:sz w:val="28"/>
          <w:szCs w:val="28"/>
        </w:rPr>
        <w:t xml:space="preserve">HÀNH CHÍNH ĐƯỢC THAY THẾ </w:t>
      </w:r>
      <w:r w:rsidR="00F91E4B">
        <w:rPr>
          <w:color w:val="auto"/>
          <w:sz w:val="28"/>
          <w:szCs w:val="28"/>
        </w:rPr>
        <w:t xml:space="preserve">TRONG </w:t>
      </w:r>
      <w:r w:rsidRPr="00F91E4B">
        <w:rPr>
          <w:color w:val="auto"/>
          <w:sz w:val="28"/>
          <w:szCs w:val="28"/>
        </w:rPr>
        <w:t>LĨNH VỰC GIÁO DỤC VÀ ĐÀO TẠO THUỘC HỆ THỐNG GIÁO DỤC QUỐC DÂN THUỘC PHẠM VI, CHỨC NĂNG QUẢN LÝ CỦA NGÀNH GIÁO DỤC VÀ ĐÀO TẠO</w:t>
      </w:r>
    </w:p>
    <w:p w14:paraId="1E414353" w14:textId="70C4BB98" w:rsidR="0042184C" w:rsidRPr="00F91E4B" w:rsidRDefault="0042184C" w:rsidP="00F91E4B">
      <w:pPr>
        <w:pStyle w:val="Heading1"/>
        <w:spacing w:before="0" w:after="0"/>
        <w:jc w:val="center"/>
        <w:rPr>
          <w:color w:val="auto"/>
          <w:sz w:val="28"/>
          <w:szCs w:val="28"/>
        </w:rPr>
      </w:pPr>
      <w:r w:rsidRPr="00F91E4B">
        <w:rPr>
          <w:color w:val="auto"/>
          <w:sz w:val="28"/>
          <w:szCs w:val="28"/>
        </w:rPr>
        <w:t>TỈNH TÂY NINH</w:t>
      </w:r>
    </w:p>
    <w:p w14:paraId="179D7075" w14:textId="54A47E23" w:rsidR="0062052F" w:rsidRPr="00F91E4B" w:rsidRDefault="0042184C" w:rsidP="00F91E4B">
      <w:pPr>
        <w:spacing w:after="0" w:line="240" w:lineRule="auto"/>
        <w:jc w:val="center"/>
        <w:rPr>
          <w:rStyle w:val="Emphasis"/>
          <w:szCs w:val="24"/>
        </w:rPr>
      </w:pPr>
      <w:r w:rsidRPr="00F91E4B">
        <w:rPr>
          <w:rStyle w:val="Emphasis"/>
          <w:szCs w:val="24"/>
        </w:rPr>
        <w:t xml:space="preserve">(Ban hành kèm theo Quyết định số         /QĐ-UBND ngày    tháng </w:t>
      </w:r>
      <w:r w:rsidR="00F91E4B" w:rsidRPr="00F91E4B">
        <w:rPr>
          <w:rStyle w:val="Emphasis"/>
          <w:szCs w:val="24"/>
          <w:lang w:val="en-US"/>
        </w:rPr>
        <w:t xml:space="preserve">02 </w:t>
      </w:r>
      <w:r w:rsidRPr="00F91E4B">
        <w:rPr>
          <w:rStyle w:val="Emphasis"/>
          <w:szCs w:val="24"/>
        </w:rPr>
        <w:t>năm 2024 của Chủ tịch Ủy ban nhân dân tỉnh Tây Ninh)</w:t>
      </w:r>
    </w:p>
    <w:p w14:paraId="0996F212" w14:textId="77777777" w:rsidR="00F91E4B" w:rsidRPr="00F91E4B" w:rsidRDefault="00F91E4B" w:rsidP="00F91E4B">
      <w:pPr>
        <w:spacing w:after="0" w:line="240" w:lineRule="auto"/>
        <w:jc w:val="center"/>
        <w:rPr>
          <w:rFonts w:eastAsia="Calibri"/>
          <w:i/>
          <w:iCs/>
          <w:sz w:val="28"/>
          <w:szCs w:val="28"/>
          <w:lang w:val="en-US"/>
        </w:rPr>
      </w:pPr>
    </w:p>
    <w:p w14:paraId="4C2AE097" w14:textId="77777777" w:rsidR="0062052F" w:rsidRPr="00F91E4B" w:rsidRDefault="00984E68" w:rsidP="00F91E4B">
      <w:pPr>
        <w:pStyle w:val="Heading1"/>
        <w:spacing w:before="0" w:after="0"/>
        <w:jc w:val="center"/>
        <w:rPr>
          <w:color w:val="auto"/>
          <w:sz w:val="28"/>
          <w:szCs w:val="28"/>
        </w:rPr>
      </w:pPr>
      <w:r w:rsidRPr="00F91E4B">
        <w:rPr>
          <w:color w:val="auto"/>
          <w:sz w:val="28"/>
          <w:szCs w:val="28"/>
        </w:rPr>
        <w:t>PHẦN I. DANH MỤC THỦ TỤC HÀNH CHÍNH</w:t>
      </w:r>
    </w:p>
    <w:p w14:paraId="34354D17" w14:textId="1C38076F" w:rsidR="0042184C" w:rsidRPr="00F91E4B" w:rsidRDefault="0042184C" w:rsidP="00F91E4B">
      <w:pPr>
        <w:pStyle w:val="Heading1"/>
        <w:spacing w:before="0" w:after="0"/>
        <w:rPr>
          <w:color w:val="auto"/>
          <w:sz w:val="28"/>
          <w:szCs w:val="28"/>
        </w:rPr>
      </w:pPr>
      <w:r w:rsidRPr="00F91E4B">
        <w:rPr>
          <w:color w:val="auto"/>
          <w:sz w:val="28"/>
          <w:szCs w:val="28"/>
        </w:rPr>
        <w:t>CẤP TỈNH</w:t>
      </w:r>
    </w:p>
    <w:p w14:paraId="7BDB3BC0" w14:textId="5F6541B1" w:rsidR="0042184C" w:rsidRPr="00F91E4B" w:rsidRDefault="0042184C" w:rsidP="00F91E4B">
      <w:pPr>
        <w:pStyle w:val="Heading1"/>
        <w:spacing w:before="0" w:after="0"/>
        <w:rPr>
          <w:color w:val="auto"/>
          <w:sz w:val="28"/>
          <w:szCs w:val="28"/>
        </w:rPr>
      </w:pPr>
      <w:r w:rsidRPr="00F91E4B">
        <w:rPr>
          <w:color w:val="auto"/>
          <w:sz w:val="28"/>
          <w:szCs w:val="28"/>
        </w:rPr>
        <w:t>I. TTHC mới ban hành:  02 thủ tục</w:t>
      </w:r>
    </w:p>
    <w:p w14:paraId="24903122" w14:textId="428F02A7" w:rsidR="0042184C" w:rsidRPr="00F91E4B" w:rsidRDefault="0042184C" w:rsidP="00F91E4B">
      <w:pPr>
        <w:pStyle w:val="Heading1"/>
        <w:spacing w:before="0" w:after="0"/>
        <w:rPr>
          <w:color w:val="auto"/>
          <w:sz w:val="28"/>
          <w:szCs w:val="28"/>
        </w:rPr>
      </w:pPr>
      <w:r w:rsidRPr="00F91E4B">
        <w:rPr>
          <w:color w:val="auto"/>
          <w:sz w:val="28"/>
          <w:szCs w:val="28"/>
        </w:rPr>
        <w:t>II. TTHC sửa đổi, bổ sung: 0 thủ tục</w:t>
      </w:r>
    </w:p>
    <w:p w14:paraId="21F07F5D" w14:textId="59DD6A59" w:rsidR="0042184C" w:rsidRPr="00F91E4B" w:rsidRDefault="0042184C" w:rsidP="00F91E4B">
      <w:pPr>
        <w:pStyle w:val="Heading1"/>
        <w:spacing w:before="0" w:after="0"/>
        <w:rPr>
          <w:color w:val="auto"/>
          <w:sz w:val="28"/>
          <w:szCs w:val="28"/>
        </w:rPr>
      </w:pPr>
      <w:r w:rsidRPr="00F91E4B">
        <w:rPr>
          <w:color w:val="auto"/>
          <w:sz w:val="28"/>
          <w:szCs w:val="28"/>
        </w:rPr>
        <w:t>III. TTHC thay thế: 0 thủ tục</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657"/>
        <w:gridCol w:w="1051"/>
        <w:gridCol w:w="1475"/>
        <w:gridCol w:w="1575"/>
        <w:gridCol w:w="3442"/>
      </w:tblGrid>
      <w:tr w:rsidR="00F91E4B" w:rsidRPr="00F91E4B" w14:paraId="73FC5E57" w14:textId="77777777" w:rsidTr="005377F2">
        <w:trPr>
          <w:trHeight w:val="279"/>
          <w:jc w:val="center"/>
        </w:trPr>
        <w:tc>
          <w:tcPr>
            <w:tcW w:w="723" w:type="dxa"/>
            <w:tcBorders>
              <w:top w:val="single" w:sz="4" w:space="0" w:color="auto"/>
              <w:left w:val="single" w:sz="4" w:space="0" w:color="auto"/>
              <w:bottom w:val="single" w:sz="4" w:space="0" w:color="auto"/>
              <w:right w:val="single" w:sz="4" w:space="0" w:color="auto"/>
            </w:tcBorders>
            <w:vAlign w:val="center"/>
          </w:tcPr>
          <w:p w14:paraId="4AB9ACE8" w14:textId="77777777" w:rsidR="0042184C" w:rsidRPr="00F91E4B" w:rsidRDefault="0042184C" w:rsidP="00F91E4B">
            <w:pPr>
              <w:autoSpaceDE w:val="0"/>
              <w:autoSpaceDN w:val="0"/>
              <w:adjustRightInd w:val="0"/>
              <w:spacing w:after="0" w:line="240" w:lineRule="auto"/>
              <w:ind w:right="-87"/>
              <w:jc w:val="center"/>
              <w:rPr>
                <w:rFonts w:eastAsia="Calibri"/>
                <w:b/>
                <w:sz w:val="28"/>
                <w:szCs w:val="28"/>
                <w:lang w:val="en-US"/>
              </w:rPr>
            </w:pPr>
            <w:r w:rsidRPr="00F91E4B">
              <w:rPr>
                <w:rFonts w:eastAsia="Calibri"/>
                <w:b/>
                <w:sz w:val="28"/>
                <w:szCs w:val="28"/>
                <w:lang w:val="en-US"/>
              </w:rPr>
              <w:t>STT</w:t>
            </w:r>
          </w:p>
        </w:tc>
        <w:tc>
          <w:tcPr>
            <w:tcW w:w="1657" w:type="dxa"/>
            <w:tcBorders>
              <w:top w:val="single" w:sz="4" w:space="0" w:color="auto"/>
              <w:left w:val="single" w:sz="4" w:space="0" w:color="auto"/>
              <w:bottom w:val="single" w:sz="4" w:space="0" w:color="auto"/>
              <w:right w:val="single" w:sz="4" w:space="0" w:color="auto"/>
            </w:tcBorders>
            <w:vAlign w:val="center"/>
          </w:tcPr>
          <w:p w14:paraId="502B2C07" w14:textId="77777777" w:rsidR="0042184C" w:rsidRPr="00F91E4B" w:rsidRDefault="0042184C" w:rsidP="00F91E4B">
            <w:pPr>
              <w:spacing w:after="0" w:line="240" w:lineRule="auto"/>
              <w:jc w:val="center"/>
              <w:rPr>
                <w:rFonts w:eastAsia="Calibri"/>
                <w:b/>
                <w:sz w:val="28"/>
                <w:szCs w:val="28"/>
                <w:lang w:val="pt-BR"/>
              </w:rPr>
            </w:pPr>
            <w:r w:rsidRPr="00F91E4B">
              <w:rPr>
                <w:rFonts w:eastAsia="Calibri"/>
                <w:b/>
                <w:bCs/>
                <w:sz w:val="28"/>
                <w:szCs w:val="28"/>
                <w:shd w:val="clear" w:color="auto" w:fill="FFFFFF"/>
                <w:lang w:val="pt-BR"/>
              </w:rPr>
              <w:t>Tên thủ tục hành chính</w:t>
            </w:r>
          </w:p>
        </w:tc>
        <w:tc>
          <w:tcPr>
            <w:tcW w:w="1051" w:type="dxa"/>
            <w:tcBorders>
              <w:top w:val="single" w:sz="4" w:space="0" w:color="auto"/>
              <w:left w:val="single" w:sz="4" w:space="0" w:color="auto"/>
              <w:bottom w:val="single" w:sz="4" w:space="0" w:color="auto"/>
              <w:right w:val="single" w:sz="4" w:space="0" w:color="auto"/>
            </w:tcBorders>
            <w:vAlign w:val="center"/>
          </w:tcPr>
          <w:p w14:paraId="2344EA07" w14:textId="77777777" w:rsidR="0042184C" w:rsidRPr="00F91E4B" w:rsidRDefault="0042184C" w:rsidP="00F91E4B">
            <w:pPr>
              <w:spacing w:after="0" w:line="240" w:lineRule="auto"/>
              <w:jc w:val="center"/>
              <w:rPr>
                <w:rFonts w:eastAsia="Calibri"/>
                <w:b/>
                <w:sz w:val="28"/>
                <w:szCs w:val="28"/>
                <w:lang w:val="en-US"/>
              </w:rPr>
            </w:pPr>
            <w:r w:rsidRPr="00F91E4B">
              <w:rPr>
                <w:rFonts w:eastAsia="Calibri"/>
                <w:b/>
                <w:sz w:val="28"/>
                <w:szCs w:val="28"/>
                <w:lang w:val="pt-BR"/>
              </w:rPr>
              <w:t>Lĩnh vực</w:t>
            </w:r>
          </w:p>
        </w:tc>
        <w:tc>
          <w:tcPr>
            <w:tcW w:w="1475" w:type="dxa"/>
            <w:tcBorders>
              <w:top w:val="single" w:sz="4" w:space="0" w:color="auto"/>
              <w:left w:val="single" w:sz="4" w:space="0" w:color="auto"/>
              <w:bottom w:val="single" w:sz="4" w:space="0" w:color="auto"/>
              <w:right w:val="single" w:sz="4" w:space="0" w:color="auto"/>
            </w:tcBorders>
            <w:vAlign w:val="center"/>
          </w:tcPr>
          <w:p w14:paraId="25D2CE16" w14:textId="77777777" w:rsidR="0042184C" w:rsidRPr="00F91E4B" w:rsidRDefault="0042184C" w:rsidP="00F91E4B">
            <w:pPr>
              <w:autoSpaceDE w:val="0"/>
              <w:autoSpaceDN w:val="0"/>
              <w:adjustRightInd w:val="0"/>
              <w:spacing w:after="0" w:line="240" w:lineRule="auto"/>
              <w:jc w:val="center"/>
              <w:rPr>
                <w:rFonts w:eastAsia="Calibri"/>
                <w:b/>
                <w:sz w:val="28"/>
                <w:szCs w:val="28"/>
                <w:lang w:val="en-US"/>
              </w:rPr>
            </w:pPr>
            <w:r w:rsidRPr="00F91E4B">
              <w:rPr>
                <w:rFonts w:eastAsia="Calibri"/>
                <w:b/>
                <w:sz w:val="28"/>
                <w:szCs w:val="28"/>
                <w:lang w:val="en-US"/>
              </w:rPr>
              <w:t>Cấp thực hiện</w:t>
            </w:r>
          </w:p>
        </w:tc>
        <w:tc>
          <w:tcPr>
            <w:tcW w:w="1575" w:type="dxa"/>
            <w:tcBorders>
              <w:top w:val="single" w:sz="4" w:space="0" w:color="auto"/>
              <w:left w:val="single" w:sz="4" w:space="0" w:color="auto"/>
              <w:bottom w:val="single" w:sz="4" w:space="0" w:color="auto"/>
              <w:right w:val="single" w:sz="4" w:space="0" w:color="auto"/>
            </w:tcBorders>
            <w:vAlign w:val="center"/>
          </w:tcPr>
          <w:p w14:paraId="2338D6AB" w14:textId="5B104FA9" w:rsidR="0042184C" w:rsidRPr="00F91E4B" w:rsidRDefault="0042184C" w:rsidP="00F91E4B">
            <w:pPr>
              <w:autoSpaceDE w:val="0"/>
              <w:autoSpaceDN w:val="0"/>
              <w:adjustRightInd w:val="0"/>
              <w:spacing w:after="0" w:line="240" w:lineRule="auto"/>
              <w:jc w:val="center"/>
              <w:rPr>
                <w:rFonts w:eastAsia="Calibri"/>
                <w:b/>
                <w:sz w:val="28"/>
                <w:szCs w:val="28"/>
                <w:lang w:val="en-US"/>
              </w:rPr>
            </w:pPr>
            <w:r w:rsidRPr="00F91E4B">
              <w:rPr>
                <w:rFonts w:eastAsia="Calibri"/>
                <w:b/>
                <w:sz w:val="28"/>
                <w:szCs w:val="28"/>
                <w:lang w:val="en-US"/>
              </w:rPr>
              <w:t>Nội dung công bố mới, sửa đổi, bổ sung, thay thế</w:t>
            </w:r>
          </w:p>
        </w:tc>
        <w:tc>
          <w:tcPr>
            <w:tcW w:w="3442" w:type="dxa"/>
            <w:tcBorders>
              <w:top w:val="single" w:sz="4" w:space="0" w:color="auto"/>
              <w:left w:val="single" w:sz="4" w:space="0" w:color="auto"/>
              <w:bottom w:val="single" w:sz="4" w:space="0" w:color="auto"/>
              <w:right w:val="single" w:sz="4" w:space="0" w:color="auto"/>
            </w:tcBorders>
            <w:vAlign w:val="center"/>
          </w:tcPr>
          <w:p w14:paraId="56902C32" w14:textId="77777777" w:rsidR="0042184C" w:rsidRPr="00F91E4B" w:rsidRDefault="0042184C" w:rsidP="00F91E4B">
            <w:pPr>
              <w:autoSpaceDE w:val="0"/>
              <w:autoSpaceDN w:val="0"/>
              <w:adjustRightInd w:val="0"/>
              <w:spacing w:after="0" w:line="240" w:lineRule="auto"/>
              <w:jc w:val="center"/>
              <w:rPr>
                <w:rFonts w:eastAsia="Calibri"/>
                <w:b/>
                <w:sz w:val="28"/>
                <w:szCs w:val="28"/>
                <w:lang w:val="en-US"/>
              </w:rPr>
            </w:pPr>
            <w:r w:rsidRPr="00F91E4B">
              <w:rPr>
                <w:rFonts w:eastAsia="Calibri"/>
                <w:b/>
                <w:sz w:val="28"/>
                <w:szCs w:val="28"/>
                <w:lang w:val="en-US"/>
              </w:rPr>
              <w:t>Căn cứ pháp lý</w:t>
            </w:r>
          </w:p>
        </w:tc>
      </w:tr>
      <w:tr w:rsidR="00F91E4B" w:rsidRPr="00F91E4B" w14:paraId="03E3D2C1" w14:textId="77777777" w:rsidTr="005377F2">
        <w:trPr>
          <w:trHeight w:val="279"/>
          <w:jc w:val="center"/>
        </w:trPr>
        <w:tc>
          <w:tcPr>
            <w:tcW w:w="723" w:type="dxa"/>
            <w:tcBorders>
              <w:top w:val="single" w:sz="4" w:space="0" w:color="auto"/>
              <w:left w:val="single" w:sz="4" w:space="0" w:color="auto"/>
              <w:bottom w:val="single" w:sz="4" w:space="0" w:color="auto"/>
              <w:right w:val="single" w:sz="4" w:space="0" w:color="auto"/>
            </w:tcBorders>
            <w:vAlign w:val="center"/>
          </w:tcPr>
          <w:p w14:paraId="33BC2A30" w14:textId="77777777" w:rsidR="0042184C" w:rsidRPr="00F91E4B" w:rsidRDefault="0042184C" w:rsidP="00F91E4B">
            <w:pPr>
              <w:autoSpaceDE w:val="0"/>
              <w:autoSpaceDN w:val="0"/>
              <w:adjustRightInd w:val="0"/>
              <w:spacing w:after="0" w:line="240" w:lineRule="auto"/>
              <w:ind w:right="-87"/>
              <w:jc w:val="center"/>
              <w:rPr>
                <w:rFonts w:eastAsia="Calibri"/>
                <w:sz w:val="28"/>
                <w:szCs w:val="28"/>
                <w:lang w:val="en-US"/>
              </w:rPr>
            </w:pPr>
            <w:r w:rsidRPr="00F91E4B">
              <w:rPr>
                <w:rFonts w:eastAsia="Calibri"/>
                <w:sz w:val="28"/>
                <w:szCs w:val="28"/>
                <w:lang w:val="en-US"/>
              </w:rPr>
              <w:t>1</w:t>
            </w:r>
          </w:p>
        </w:tc>
        <w:tc>
          <w:tcPr>
            <w:tcW w:w="1657" w:type="dxa"/>
            <w:tcBorders>
              <w:top w:val="single" w:sz="4" w:space="0" w:color="auto"/>
              <w:left w:val="single" w:sz="4" w:space="0" w:color="auto"/>
              <w:bottom w:val="single" w:sz="4" w:space="0" w:color="auto"/>
              <w:right w:val="single" w:sz="4" w:space="0" w:color="auto"/>
            </w:tcBorders>
            <w:vAlign w:val="center"/>
          </w:tcPr>
          <w:p w14:paraId="4BB1E39A" w14:textId="0FC21663" w:rsidR="0042184C" w:rsidRPr="00F91E4B" w:rsidRDefault="007D32A3" w:rsidP="00F91E4B">
            <w:pPr>
              <w:spacing w:after="0" w:line="240" w:lineRule="auto"/>
              <w:ind w:firstLine="12"/>
              <w:jc w:val="both"/>
              <w:rPr>
                <w:sz w:val="28"/>
                <w:szCs w:val="28"/>
                <w:lang w:val="pt-BR"/>
              </w:rPr>
            </w:pPr>
            <w:r w:rsidRPr="00F91E4B">
              <w:rPr>
                <w:rFonts w:eastAsia="Times New Roman"/>
                <w:sz w:val="28"/>
                <w:szCs w:val="28"/>
                <w:lang w:val="nl-NL"/>
              </w:rPr>
              <w:t>Đề nghị đánh giá, công nhận “Đơn vị học tập” cấp tỉnh</w:t>
            </w:r>
          </w:p>
        </w:tc>
        <w:tc>
          <w:tcPr>
            <w:tcW w:w="1051" w:type="dxa"/>
            <w:tcBorders>
              <w:top w:val="single" w:sz="4" w:space="0" w:color="auto"/>
              <w:left w:val="single" w:sz="4" w:space="0" w:color="auto"/>
              <w:bottom w:val="single" w:sz="4" w:space="0" w:color="auto"/>
              <w:right w:val="single" w:sz="4" w:space="0" w:color="auto"/>
            </w:tcBorders>
            <w:vAlign w:val="center"/>
          </w:tcPr>
          <w:p w14:paraId="02756371" w14:textId="1009899F" w:rsidR="0042184C" w:rsidRPr="00F91E4B" w:rsidRDefault="007D32A3" w:rsidP="00F91E4B">
            <w:pPr>
              <w:spacing w:after="0" w:line="240" w:lineRule="auto"/>
              <w:jc w:val="center"/>
              <w:rPr>
                <w:sz w:val="28"/>
                <w:szCs w:val="28"/>
              </w:rPr>
            </w:pPr>
            <w:r w:rsidRPr="00F91E4B">
              <w:rPr>
                <w:sz w:val="28"/>
                <w:szCs w:val="28"/>
                <w:lang w:val="en-US"/>
              </w:rPr>
              <w:t>Giáo dục và Đào tạo thuộc hệ thống giáo dục quốc dân</w:t>
            </w:r>
          </w:p>
        </w:tc>
        <w:tc>
          <w:tcPr>
            <w:tcW w:w="1475" w:type="dxa"/>
            <w:tcBorders>
              <w:top w:val="single" w:sz="4" w:space="0" w:color="auto"/>
              <w:left w:val="single" w:sz="4" w:space="0" w:color="auto"/>
              <w:bottom w:val="single" w:sz="4" w:space="0" w:color="auto"/>
              <w:right w:val="single" w:sz="4" w:space="0" w:color="auto"/>
            </w:tcBorders>
            <w:vAlign w:val="center"/>
          </w:tcPr>
          <w:p w14:paraId="6C748704" w14:textId="55EE3215" w:rsidR="0042184C" w:rsidRPr="00F91E4B" w:rsidRDefault="007D32A3" w:rsidP="00F91E4B">
            <w:pPr>
              <w:autoSpaceDE w:val="0"/>
              <w:autoSpaceDN w:val="0"/>
              <w:adjustRightInd w:val="0"/>
              <w:spacing w:after="0" w:line="240" w:lineRule="auto"/>
              <w:jc w:val="center"/>
              <w:rPr>
                <w:rFonts w:eastAsia="Calibri"/>
                <w:sz w:val="28"/>
                <w:szCs w:val="28"/>
                <w:lang w:val="en-US"/>
              </w:rPr>
            </w:pPr>
            <w:r w:rsidRPr="00F91E4B">
              <w:rPr>
                <w:sz w:val="28"/>
                <w:szCs w:val="28"/>
                <w:shd w:val="clear" w:color="auto" w:fill="FFFFFF"/>
                <w:lang w:val="en-US"/>
              </w:rPr>
              <w:t>Tỉnh</w:t>
            </w:r>
          </w:p>
        </w:tc>
        <w:tc>
          <w:tcPr>
            <w:tcW w:w="1575" w:type="dxa"/>
            <w:tcBorders>
              <w:top w:val="single" w:sz="4" w:space="0" w:color="auto"/>
              <w:left w:val="single" w:sz="4" w:space="0" w:color="auto"/>
              <w:bottom w:val="single" w:sz="4" w:space="0" w:color="auto"/>
              <w:right w:val="single" w:sz="4" w:space="0" w:color="auto"/>
            </w:tcBorders>
            <w:vAlign w:val="center"/>
          </w:tcPr>
          <w:p w14:paraId="5B82AEE1" w14:textId="68E22E3F" w:rsidR="0042184C" w:rsidRPr="00F91E4B" w:rsidRDefault="007D32A3" w:rsidP="00F91E4B">
            <w:pPr>
              <w:spacing w:after="0" w:line="240" w:lineRule="auto"/>
              <w:jc w:val="center"/>
              <w:rPr>
                <w:sz w:val="28"/>
                <w:szCs w:val="28"/>
                <w:lang w:val="nl-NL"/>
              </w:rPr>
            </w:pPr>
            <w:r w:rsidRPr="00F91E4B">
              <w:rPr>
                <w:sz w:val="28"/>
                <w:szCs w:val="28"/>
                <w:shd w:val="clear" w:color="auto" w:fill="FFFFFF"/>
                <w:lang w:val="en-US"/>
              </w:rPr>
              <w:t>Công bố mới</w:t>
            </w:r>
          </w:p>
        </w:tc>
        <w:tc>
          <w:tcPr>
            <w:tcW w:w="3442" w:type="dxa"/>
            <w:tcBorders>
              <w:top w:val="single" w:sz="4" w:space="0" w:color="auto"/>
              <w:left w:val="single" w:sz="4" w:space="0" w:color="auto"/>
              <w:bottom w:val="single" w:sz="4" w:space="0" w:color="auto"/>
              <w:right w:val="single" w:sz="4" w:space="0" w:color="auto"/>
            </w:tcBorders>
            <w:vAlign w:val="center"/>
          </w:tcPr>
          <w:p w14:paraId="08F39690" w14:textId="559C67D9" w:rsidR="0042184C" w:rsidRPr="00F91E4B" w:rsidRDefault="00E2534E" w:rsidP="00F91E4B">
            <w:pPr>
              <w:spacing w:after="0" w:line="240" w:lineRule="auto"/>
              <w:jc w:val="both"/>
              <w:rPr>
                <w:sz w:val="28"/>
                <w:szCs w:val="28"/>
              </w:rPr>
            </w:pPr>
            <w:r w:rsidRPr="00F91E4B">
              <w:rPr>
                <w:sz w:val="28"/>
                <w:szCs w:val="28"/>
                <w:lang w:val="nl-NL"/>
              </w:rPr>
              <w:t>Thông tư số 24/2023/TT-BGDĐT ngày 11/12/2023 của Bộ trưởng Bộ Giáo dục và Đào tạo quy định về đánh giá, công nhận “Đơn vị học tập” cấp huyện, tỉnh.</w:t>
            </w:r>
          </w:p>
        </w:tc>
      </w:tr>
      <w:tr w:rsidR="00E2534E" w:rsidRPr="00F91E4B" w14:paraId="38DEAE83" w14:textId="77777777" w:rsidTr="005377F2">
        <w:trPr>
          <w:trHeight w:val="279"/>
          <w:jc w:val="center"/>
        </w:trPr>
        <w:tc>
          <w:tcPr>
            <w:tcW w:w="723" w:type="dxa"/>
            <w:tcBorders>
              <w:top w:val="single" w:sz="4" w:space="0" w:color="auto"/>
              <w:left w:val="single" w:sz="4" w:space="0" w:color="auto"/>
              <w:bottom w:val="single" w:sz="4" w:space="0" w:color="auto"/>
              <w:right w:val="single" w:sz="4" w:space="0" w:color="auto"/>
            </w:tcBorders>
            <w:vAlign w:val="center"/>
          </w:tcPr>
          <w:p w14:paraId="4EC018FB" w14:textId="51D9B2B4" w:rsidR="00E2534E" w:rsidRPr="00F91E4B" w:rsidRDefault="00E2534E" w:rsidP="00F91E4B">
            <w:pPr>
              <w:autoSpaceDE w:val="0"/>
              <w:autoSpaceDN w:val="0"/>
              <w:adjustRightInd w:val="0"/>
              <w:spacing w:after="0" w:line="240" w:lineRule="auto"/>
              <w:ind w:right="-87"/>
              <w:jc w:val="center"/>
              <w:rPr>
                <w:rFonts w:eastAsia="Calibri"/>
                <w:sz w:val="28"/>
                <w:szCs w:val="28"/>
                <w:lang w:val="en-US"/>
              </w:rPr>
            </w:pPr>
            <w:r w:rsidRPr="00F91E4B">
              <w:rPr>
                <w:rFonts w:eastAsia="Calibri"/>
                <w:sz w:val="28"/>
                <w:szCs w:val="28"/>
                <w:lang w:val="en-US"/>
              </w:rPr>
              <w:t>2</w:t>
            </w:r>
          </w:p>
        </w:tc>
        <w:tc>
          <w:tcPr>
            <w:tcW w:w="1657" w:type="dxa"/>
            <w:tcBorders>
              <w:top w:val="single" w:sz="4" w:space="0" w:color="auto"/>
              <w:left w:val="single" w:sz="4" w:space="0" w:color="auto"/>
              <w:bottom w:val="single" w:sz="4" w:space="0" w:color="auto"/>
              <w:right w:val="single" w:sz="4" w:space="0" w:color="auto"/>
            </w:tcBorders>
          </w:tcPr>
          <w:p w14:paraId="3A8B28A8" w14:textId="628F5E13" w:rsidR="00E2534E" w:rsidRPr="00F91E4B" w:rsidRDefault="00E2534E" w:rsidP="00F91E4B">
            <w:pPr>
              <w:spacing w:after="0" w:line="240" w:lineRule="auto"/>
              <w:ind w:firstLine="12"/>
              <w:jc w:val="both"/>
              <w:rPr>
                <w:rFonts w:eastAsia="Times New Roman"/>
                <w:sz w:val="28"/>
                <w:szCs w:val="28"/>
                <w:lang w:val="nl-NL"/>
              </w:rPr>
            </w:pPr>
            <w:r w:rsidRPr="00F91E4B">
              <w:rPr>
                <w:sz w:val="28"/>
                <w:szCs w:val="28"/>
              </w:rPr>
              <w:t xml:space="preserve">Đề nghị </w:t>
            </w:r>
            <w:r w:rsidRPr="00F91E4B">
              <w:rPr>
                <w:rFonts w:eastAsia="Times New Roman"/>
                <w:sz w:val="28"/>
                <w:szCs w:val="28"/>
                <w:lang w:val="nl-NL"/>
              </w:rPr>
              <w:t>đánh</w:t>
            </w:r>
            <w:r w:rsidRPr="00F91E4B">
              <w:rPr>
                <w:sz w:val="28"/>
                <w:szCs w:val="28"/>
              </w:rPr>
              <w:t xml:space="preserve"> giá, công nhận “Cộng đồng học tập” cấp huyện</w:t>
            </w:r>
          </w:p>
        </w:tc>
        <w:tc>
          <w:tcPr>
            <w:tcW w:w="1051" w:type="dxa"/>
            <w:tcBorders>
              <w:top w:val="single" w:sz="4" w:space="0" w:color="auto"/>
              <w:left w:val="single" w:sz="4" w:space="0" w:color="auto"/>
              <w:bottom w:val="single" w:sz="4" w:space="0" w:color="auto"/>
              <w:right w:val="single" w:sz="4" w:space="0" w:color="auto"/>
            </w:tcBorders>
          </w:tcPr>
          <w:p w14:paraId="07A375D9" w14:textId="3118E063" w:rsidR="00E2534E" w:rsidRPr="00F91E4B" w:rsidRDefault="00E2534E" w:rsidP="00F91E4B">
            <w:pPr>
              <w:spacing w:after="0" w:line="240" w:lineRule="auto"/>
              <w:jc w:val="center"/>
              <w:rPr>
                <w:sz w:val="28"/>
                <w:szCs w:val="28"/>
                <w:lang w:val="en-US"/>
              </w:rPr>
            </w:pPr>
            <w:r w:rsidRPr="00F91E4B">
              <w:rPr>
                <w:sz w:val="28"/>
                <w:szCs w:val="28"/>
              </w:rPr>
              <w:t>Giáo dục và Đào tạo thuộc hệ thống giáo dục quốc dân</w:t>
            </w:r>
          </w:p>
        </w:tc>
        <w:tc>
          <w:tcPr>
            <w:tcW w:w="1475" w:type="dxa"/>
            <w:tcBorders>
              <w:top w:val="single" w:sz="4" w:space="0" w:color="auto"/>
              <w:left w:val="single" w:sz="4" w:space="0" w:color="auto"/>
              <w:bottom w:val="single" w:sz="4" w:space="0" w:color="auto"/>
              <w:right w:val="single" w:sz="4" w:space="0" w:color="auto"/>
            </w:tcBorders>
            <w:vAlign w:val="center"/>
          </w:tcPr>
          <w:p w14:paraId="24ECBDE1" w14:textId="3A225199" w:rsidR="00E2534E" w:rsidRPr="00F91E4B" w:rsidRDefault="00E2534E" w:rsidP="00F91E4B">
            <w:pPr>
              <w:autoSpaceDE w:val="0"/>
              <w:autoSpaceDN w:val="0"/>
              <w:adjustRightInd w:val="0"/>
              <w:spacing w:after="0" w:line="240" w:lineRule="auto"/>
              <w:jc w:val="center"/>
              <w:rPr>
                <w:sz w:val="28"/>
                <w:szCs w:val="28"/>
                <w:shd w:val="clear" w:color="auto" w:fill="FFFFFF"/>
                <w:lang w:val="en-US"/>
              </w:rPr>
            </w:pPr>
            <w:r w:rsidRPr="00F91E4B">
              <w:rPr>
                <w:sz w:val="28"/>
                <w:szCs w:val="28"/>
                <w:shd w:val="clear" w:color="auto" w:fill="FFFFFF"/>
                <w:lang w:val="en-US"/>
              </w:rPr>
              <w:t>Tỉnh</w:t>
            </w:r>
          </w:p>
        </w:tc>
        <w:tc>
          <w:tcPr>
            <w:tcW w:w="1575" w:type="dxa"/>
            <w:tcBorders>
              <w:top w:val="single" w:sz="4" w:space="0" w:color="auto"/>
              <w:left w:val="single" w:sz="4" w:space="0" w:color="auto"/>
              <w:bottom w:val="single" w:sz="4" w:space="0" w:color="auto"/>
              <w:right w:val="single" w:sz="4" w:space="0" w:color="auto"/>
            </w:tcBorders>
            <w:vAlign w:val="center"/>
          </w:tcPr>
          <w:p w14:paraId="293D357C" w14:textId="2D1D8AAC" w:rsidR="00E2534E" w:rsidRPr="00F91E4B" w:rsidRDefault="00E2534E" w:rsidP="00F91E4B">
            <w:pPr>
              <w:spacing w:after="0" w:line="240" w:lineRule="auto"/>
              <w:jc w:val="center"/>
              <w:rPr>
                <w:sz w:val="28"/>
                <w:szCs w:val="28"/>
                <w:shd w:val="clear" w:color="auto" w:fill="FFFFFF"/>
              </w:rPr>
            </w:pPr>
            <w:r w:rsidRPr="00F91E4B">
              <w:rPr>
                <w:sz w:val="28"/>
                <w:szCs w:val="28"/>
                <w:shd w:val="clear" w:color="auto" w:fill="FFFFFF"/>
                <w:lang w:val="en-US"/>
              </w:rPr>
              <w:t>Công bố mới</w:t>
            </w:r>
          </w:p>
        </w:tc>
        <w:tc>
          <w:tcPr>
            <w:tcW w:w="3442" w:type="dxa"/>
            <w:tcBorders>
              <w:top w:val="single" w:sz="4" w:space="0" w:color="auto"/>
              <w:left w:val="single" w:sz="4" w:space="0" w:color="auto"/>
              <w:bottom w:val="single" w:sz="4" w:space="0" w:color="auto"/>
              <w:right w:val="single" w:sz="4" w:space="0" w:color="auto"/>
            </w:tcBorders>
            <w:vAlign w:val="center"/>
          </w:tcPr>
          <w:p w14:paraId="2C399A3C" w14:textId="07547815" w:rsidR="00E2534E" w:rsidRPr="00F91E4B" w:rsidRDefault="00E2534E" w:rsidP="00F91E4B">
            <w:pPr>
              <w:spacing w:after="0" w:line="240" w:lineRule="auto"/>
              <w:jc w:val="both"/>
              <w:rPr>
                <w:sz w:val="28"/>
                <w:szCs w:val="28"/>
                <w:lang w:val="nl-NL"/>
              </w:rPr>
            </w:pPr>
            <w:r w:rsidRPr="00F91E4B">
              <w:rPr>
                <w:sz w:val="28"/>
                <w:szCs w:val="28"/>
                <w:lang w:val="nl-NL"/>
              </w:rPr>
              <w:t>Thông tư số 25/2023/TT-BGDĐT ngày 27 tháng 12 năm 2023 của Bộ trưởng Bộ Giáo dục và Đào tạo quy định về đánh giá, công nhận “Cộng đồng học tập” cấp xã, huyện, tỉnh.</w:t>
            </w:r>
          </w:p>
        </w:tc>
      </w:tr>
    </w:tbl>
    <w:p w14:paraId="5618F1AE" w14:textId="77777777" w:rsidR="0042184C" w:rsidRPr="00F91E4B" w:rsidRDefault="0042184C" w:rsidP="00F91E4B">
      <w:pPr>
        <w:spacing w:after="0" w:line="240" w:lineRule="auto"/>
        <w:rPr>
          <w:rFonts w:eastAsia="Calibri"/>
          <w:b/>
          <w:sz w:val="28"/>
          <w:szCs w:val="28"/>
          <w:lang w:val="en-US"/>
        </w:rPr>
      </w:pPr>
    </w:p>
    <w:p w14:paraId="2AD1F902" w14:textId="4040BF9B" w:rsidR="00E2534E" w:rsidRPr="00F91E4B" w:rsidRDefault="0042184C" w:rsidP="00F91E4B">
      <w:pPr>
        <w:pStyle w:val="Heading1"/>
        <w:spacing w:before="0" w:after="0"/>
        <w:rPr>
          <w:color w:val="auto"/>
          <w:sz w:val="28"/>
          <w:szCs w:val="28"/>
        </w:rPr>
      </w:pPr>
      <w:r w:rsidRPr="00F91E4B">
        <w:rPr>
          <w:color w:val="auto"/>
          <w:sz w:val="28"/>
          <w:szCs w:val="28"/>
        </w:rPr>
        <w:br w:type="page"/>
      </w:r>
      <w:r w:rsidR="00E2534E" w:rsidRPr="00F91E4B">
        <w:rPr>
          <w:color w:val="auto"/>
          <w:sz w:val="28"/>
          <w:szCs w:val="28"/>
        </w:rPr>
        <w:lastRenderedPageBreak/>
        <w:t>CẤP HUYỆN</w:t>
      </w:r>
    </w:p>
    <w:p w14:paraId="544A9BA4" w14:textId="112193F3" w:rsidR="00E2534E" w:rsidRPr="00F91E4B" w:rsidRDefault="00E2534E" w:rsidP="00F91E4B">
      <w:pPr>
        <w:pStyle w:val="Heading1"/>
        <w:spacing w:before="0" w:after="0"/>
        <w:rPr>
          <w:color w:val="auto"/>
          <w:sz w:val="28"/>
          <w:szCs w:val="28"/>
        </w:rPr>
      </w:pPr>
      <w:r w:rsidRPr="00F91E4B">
        <w:rPr>
          <w:color w:val="auto"/>
          <w:sz w:val="28"/>
          <w:szCs w:val="28"/>
        </w:rPr>
        <w:t>I. TTHC mới ban hành:  01 thủ tục</w:t>
      </w:r>
    </w:p>
    <w:p w14:paraId="4D41BB38" w14:textId="77777777" w:rsidR="00E2534E" w:rsidRPr="00F91E4B" w:rsidRDefault="00E2534E" w:rsidP="00F91E4B">
      <w:pPr>
        <w:pStyle w:val="Heading1"/>
        <w:spacing w:before="0" w:after="0"/>
        <w:rPr>
          <w:color w:val="auto"/>
          <w:sz w:val="28"/>
          <w:szCs w:val="28"/>
        </w:rPr>
      </w:pPr>
      <w:r w:rsidRPr="00F91E4B">
        <w:rPr>
          <w:color w:val="auto"/>
          <w:sz w:val="28"/>
          <w:szCs w:val="28"/>
        </w:rPr>
        <w:t>II. TTHC sửa đổi, bổ sung: 0 thủ tục</w:t>
      </w:r>
    </w:p>
    <w:p w14:paraId="6DB8289C" w14:textId="521E9772" w:rsidR="00E2534E" w:rsidRPr="00F91E4B" w:rsidRDefault="00E2534E" w:rsidP="00F91E4B">
      <w:pPr>
        <w:pStyle w:val="Heading1"/>
        <w:spacing w:before="0" w:after="0"/>
        <w:rPr>
          <w:color w:val="auto"/>
          <w:sz w:val="28"/>
          <w:szCs w:val="28"/>
        </w:rPr>
      </w:pPr>
      <w:r w:rsidRPr="00F91E4B">
        <w:rPr>
          <w:color w:val="auto"/>
          <w:sz w:val="28"/>
          <w:szCs w:val="28"/>
        </w:rPr>
        <w:t>III. TTHC thay thế: 0</w:t>
      </w:r>
      <w:r w:rsidR="009E7FC4" w:rsidRPr="00F91E4B">
        <w:rPr>
          <w:color w:val="auto"/>
          <w:sz w:val="28"/>
          <w:szCs w:val="28"/>
        </w:rPr>
        <w:t>1</w:t>
      </w:r>
      <w:r w:rsidRPr="00F91E4B">
        <w:rPr>
          <w:color w:val="auto"/>
          <w:sz w:val="28"/>
          <w:szCs w:val="28"/>
        </w:rPr>
        <w:t xml:space="preserve"> thủ tục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657"/>
        <w:gridCol w:w="1051"/>
        <w:gridCol w:w="1475"/>
        <w:gridCol w:w="1575"/>
        <w:gridCol w:w="3295"/>
      </w:tblGrid>
      <w:tr w:rsidR="00F91E4B" w:rsidRPr="00F91E4B" w14:paraId="342771DC" w14:textId="77777777" w:rsidTr="005A1F65">
        <w:trPr>
          <w:trHeight w:val="279"/>
          <w:jc w:val="center"/>
        </w:trPr>
        <w:tc>
          <w:tcPr>
            <w:tcW w:w="723" w:type="dxa"/>
            <w:tcBorders>
              <w:top w:val="single" w:sz="4" w:space="0" w:color="auto"/>
              <w:left w:val="single" w:sz="4" w:space="0" w:color="auto"/>
              <w:bottom w:val="single" w:sz="4" w:space="0" w:color="auto"/>
              <w:right w:val="single" w:sz="4" w:space="0" w:color="auto"/>
            </w:tcBorders>
            <w:vAlign w:val="center"/>
          </w:tcPr>
          <w:p w14:paraId="4CFADDA2" w14:textId="77777777" w:rsidR="00E2534E" w:rsidRPr="00F91E4B" w:rsidRDefault="00E2534E" w:rsidP="00F91E4B">
            <w:pPr>
              <w:autoSpaceDE w:val="0"/>
              <w:autoSpaceDN w:val="0"/>
              <w:adjustRightInd w:val="0"/>
              <w:spacing w:after="0" w:line="240" w:lineRule="auto"/>
              <w:ind w:right="-87"/>
              <w:jc w:val="center"/>
              <w:rPr>
                <w:rFonts w:eastAsia="Calibri"/>
                <w:b/>
                <w:sz w:val="28"/>
                <w:szCs w:val="28"/>
                <w:lang w:val="en-US"/>
              </w:rPr>
            </w:pPr>
            <w:r w:rsidRPr="00F91E4B">
              <w:rPr>
                <w:rFonts w:eastAsia="Calibri"/>
                <w:b/>
                <w:sz w:val="28"/>
                <w:szCs w:val="28"/>
                <w:lang w:val="en-US"/>
              </w:rPr>
              <w:t>STT</w:t>
            </w:r>
          </w:p>
        </w:tc>
        <w:tc>
          <w:tcPr>
            <w:tcW w:w="1657" w:type="dxa"/>
            <w:tcBorders>
              <w:top w:val="single" w:sz="4" w:space="0" w:color="auto"/>
              <w:left w:val="single" w:sz="4" w:space="0" w:color="auto"/>
              <w:bottom w:val="single" w:sz="4" w:space="0" w:color="auto"/>
              <w:right w:val="single" w:sz="4" w:space="0" w:color="auto"/>
            </w:tcBorders>
            <w:vAlign w:val="center"/>
          </w:tcPr>
          <w:p w14:paraId="4F157E85" w14:textId="77777777" w:rsidR="00E2534E" w:rsidRPr="00F91E4B" w:rsidRDefault="00E2534E" w:rsidP="00F91E4B">
            <w:pPr>
              <w:spacing w:after="0" w:line="240" w:lineRule="auto"/>
              <w:jc w:val="center"/>
              <w:rPr>
                <w:rFonts w:eastAsia="Calibri"/>
                <w:b/>
                <w:sz w:val="28"/>
                <w:szCs w:val="28"/>
                <w:lang w:val="pt-BR"/>
              </w:rPr>
            </w:pPr>
            <w:r w:rsidRPr="00F91E4B">
              <w:rPr>
                <w:rFonts w:eastAsia="Calibri"/>
                <w:b/>
                <w:bCs/>
                <w:sz w:val="28"/>
                <w:szCs w:val="28"/>
                <w:shd w:val="clear" w:color="auto" w:fill="FFFFFF"/>
                <w:lang w:val="pt-BR"/>
              </w:rPr>
              <w:t>Tên thủ tục hành chính</w:t>
            </w:r>
          </w:p>
        </w:tc>
        <w:tc>
          <w:tcPr>
            <w:tcW w:w="1051" w:type="dxa"/>
            <w:tcBorders>
              <w:top w:val="single" w:sz="4" w:space="0" w:color="auto"/>
              <w:left w:val="single" w:sz="4" w:space="0" w:color="auto"/>
              <w:bottom w:val="single" w:sz="4" w:space="0" w:color="auto"/>
              <w:right w:val="single" w:sz="4" w:space="0" w:color="auto"/>
            </w:tcBorders>
            <w:vAlign w:val="center"/>
          </w:tcPr>
          <w:p w14:paraId="06A39906" w14:textId="77777777" w:rsidR="00E2534E" w:rsidRPr="00F91E4B" w:rsidRDefault="00E2534E" w:rsidP="00F91E4B">
            <w:pPr>
              <w:spacing w:after="0" w:line="240" w:lineRule="auto"/>
              <w:jc w:val="center"/>
              <w:rPr>
                <w:rFonts w:eastAsia="Calibri"/>
                <w:b/>
                <w:sz w:val="28"/>
                <w:szCs w:val="28"/>
                <w:lang w:val="en-US"/>
              </w:rPr>
            </w:pPr>
            <w:r w:rsidRPr="00F91E4B">
              <w:rPr>
                <w:rFonts w:eastAsia="Calibri"/>
                <w:b/>
                <w:sz w:val="28"/>
                <w:szCs w:val="28"/>
                <w:lang w:val="pt-BR"/>
              </w:rPr>
              <w:t>Lĩnh vực</w:t>
            </w:r>
          </w:p>
        </w:tc>
        <w:tc>
          <w:tcPr>
            <w:tcW w:w="1475" w:type="dxa"/>
            <w:tcBorders>
              <w:top w:val="single" w:sz="4" w:space="0" w:color="auto"/>
              <w:left w:val="single" w:sz="4" w:space="0" w:color="auto"/>
              <w:bottom w:val="single" w:sz="4" w:space="0" w:color="auto"/>
              <w:right w:val="single" w:sz="4" w:space="0" w:color="auto"/>
            </w:tcBorders>
            <w:vAlign w:val="center"/>
          </w:tcPr>
          <w:p w14:paraId="4D323373" w14:textId="77777777" w:rsidR="00E2534E" w:rsidRPr="00F91E4B" w:rsidRDefault="00E2534E" w:rsidP="00F91E4B">
            <w:pPr>
              <w:autoSpaceDE w:val="0"/>
              <w:autoSpaceDN w:val="0"/>
              <w:adjustRightInd w:val="0"/>
              <w:spacing w:after="0" w:line="240" w:lineRule="auto"/>
              <w:jc w:val="center"/>
              <w:rPr>
                <w:rFonts w:eastAsia="Calibri"/>
                <w:b/>
                <w:sz w:val="28"/>
                <w:szCs w:val="28"/>
                <w:lang w:val="en-US"/>
              </w:rPr>
            </w:pPr>
            <w:r w:rsidRPr="00F91E4B">
              <w:rPr>
                <w:rFonts w:eastAsia="Calibri"/>
                <w:b/>
                <w:sz w:val="28"/>
                <w:szCs w:val="28"/>
                <w:lang w:val="en-US"/>
              </w:rPr>
              <w:t>Cấp thực hiện</w:t>
            </w:r>
          </w:p>
        </w:tc>
        <w:tc>
          <w:tcPr>
            <w:tcW w:w="1575" w:type="dxa"/>
            <w:tcBorders>
              <w:top w:val="single" w:sz="4" w:space="0" w:color="auto"/>
              <w:left w:val="single" w:sz="4" w:space="0" w:color="auto"/>
              <w:bottom w:val="single" w:sz="4" w:space="0" w:color="auto"/>
              <w:right w:val="single" w:sz="4" w:space="0" w:color="auto"/>
            </w:tcBorders>
            <w:vAlign w:val="center"/>
          </w:tcPr>
          <w:p w14:paraId="19ECAC6E" w14:textId="77777777" w:rsidR="00E2534E" w:rsidRPr="00F91E4B" w:rsidRDefault="00E2534E" w:rsidP="00F91E4B">
            <w:pPr>
              <w:autoSpaceDE w:val="0"/>
              <w:autoSpaceDN w:val="0"/>
              <w:adjustRightInd w:val="0"/>
              <w:spacing w:after="0" w:line="240" w:lineRule="auto"/>
              <w:jc w:val="center"/>
              <w:rPr>
                <w:rFonts w:eastAsia="Calibri"/>
                <w:b/>
                <w:sz w:val="28"/>
                <w:szCs w:val="28"/>
                <w:lang w:val="en-US"/>
              </w:rPr>
            </w:pPr>
            <w:r w:rsidRPr="00F91E4B">
              <w:rPr>
                <w:rFonts w:eastAsia="Calibri"/>
                <w:b/>
                <w:sz w:val="28"/>
                <w:szCs w:val="28"/>
                <w:lang w:val="en-US"/>
              </w:rPr>
              <w:t>Nội dung công bố mới, sửa đổi, bổ sung, thay thế</w:t>
            </w:r>
          </w:p>
        </w:tc>
        <w:tc>
          <w:tcPr>
            <w:tcW w:w="3295" w:type="dxa"/>
            <w:tcBorders>
              <w:top w:val="single" w:sz="4" w:space="0" w:color="auto"/>
              <w:left w:val="single" w:sz="4" w:space="0" w:color="auto"/>
              <w:bottom w:val="single" w:sz="4" w:space="0" w:color="auto"/>
              <w:right w:val="single" w:sz="4" w:space="0" w:color="auto"/>
            </w:tcBorders>
            <w:vAlign w:val="center"/>
          </w:tcPr>
          <w:p w14:paraId="279FAFC9" w14:textId="77777777" w:rsidR="00E2534E" w:rsidRPr="00F91E4B" w:rsidRDefault="00E2534E" w:rsidP="00F91E4B">
            <w:pPr>
              <w:autoSpaceDE w:val="0"/>
              <w:autoSpaceDN w:val="0"/>
              <w:adjustRightInd w:val="0"/>
              <w:spacing w:after="0" w:line="240" w:lineRule="auto"/>
              <w:jc w:val="center"/>
              <w:rPr>
                <w:rFonts w:eastAsia="Calibri"/>
                <w:b/>
                <w:sz w:val="28"/>
                <w:szCs w:val="28"/>
                <w:lang w:val="en-US"/>
              </w:rPr>
            </w:pPr>
            <w:r w:rsidRPr="00F91E4B">
              <w:rPr>
                <w:rFonts w:eastAsia="Calibri"/>
                <w:b/>
                <w:sz w:val="28"/>
                <w:szCs w:val="28"/>
                <w:lang w:val="en-US"/>
              </w:rPr>
              <w:t>Căn cứ pháp lý</w:t>
            </w:r>
          </w:p>
        </w:tc>
      </w:tr>
      <w:tr w:rsidR="00F91E4B" w:rsidRPr="00F91E4B" w14:paraId="41182649" w14:textId="77777777" w:rsidTr="005A1F65">
        <w:trPr>
          <w:trHeight w:val="279"/>
          <w:jc w:val="center"/>
        </w:trPr>
        <w:tc>
          <w:tcPr>
            <w:tcW w:w="723" w:type="dxa"/>
            <w:tcBorders>
              <w:top w:val="single" w:sz="4" w:space="0" w:color="auto"/>
              <w:left w:val="single" w:sz="4" w:space="0" w:color="auto"/>
              <w:bottom w:val="single" w:sz="4" w:space="0" w:color="auto"/>
              <w:right w:val="single" w:sz="4" w:space="0" w:color="auto"/>
            </w:tcBorders>
            <w:vAlign w:val="center"/>
          </w:tcPr>
          <w:p w14:paraId="6847D578" w14:textId="77777777" w:rsidR="009E7FC4" w:rsidRPr="00F91E4B" w:rsidRDefault="009E7FC4" w:rsidP="00F91E4B">
            <w:pPr>
              <w:autoSpaceDE w:val="0"/>
              <w:autoSpaceDN w:val="0"/>
              <w:adjustRightInd w:val="0"/>
              <w:spacing w:after="0" w:line="240" w:lineRule="auto"/>
              <w:ind w:right="-87"/>
              <w:jc w:val="center"/>
              <w:rPr>
                <w:rFonts w:eastAsia="Calibri"/>
                <w:sz w:val="28"/>
                <w:szCs w:val="28"/>
                <w:lang w:val="en-US"/>
              </w:rPr>
            </w:pPr>
            <w:r w:rsidRPr="00F91E4B">
              <w:rPr>
                <w:rFonts w:eastAsia="Calibri"/>
                <w:sz w:val="28"/>
                <w:szCs w:val="28"/>
                <w:lang w:val="en-US"/>
              </w:rPr>
              <w:t>1</w:t>
            </w:r>
          </w:p>
        </w:tc>
        <w:tc>
          <w:tcPr>
            <w:tcW w:w="1657" w:type="dxa"/>
            <w:tcBorders>
              <w:top w:val="single" w:sz="4" w:space="0" w:color="auto"/>
              <w:left w:val="single" w:sz="4" w:space="0" w:color="auto"/>
              <w:bottom w:val="single" w:sz="4" w:space="0" w:color="auto"/>
              <w:right w:val="single" w:sz="4" w:space="0" w:color="auto"/>
            </w:tcBorders>
          </w:tcPr>
          <w:p w14:paraId="26D5408D" w14:textId="03D2AE90" w:rsidR="009E7FC4" w:rsidRPr="00F91E4B" w:rsidRDefault="009E7FC4" w:rsidP="00F91E4B">
            <w:pPr>
              <w:spacing w:after="0" w:line="240" w:lineRule="auto"/>
              <w:ind w:firstLine="12"/>
              <w:jc w:val="both"/>
              <w:rPr>
                <w:sz w:val="28"/>
                <w:szCs w:val="28"/>
                <w:lang w:val="pt-BR"/>
              </w:rPr>
            </w:pPr>
            <w:r w:rsidRPr="00F91E4B">
              <w:rPr>
                <w:sz w:val="28"/>
                <w:szCs w:val="28"/>
              </w:rPr>
              <w:t>Đề nghị đánh giá, công nhận “Đơn vị học tập” cấp huyện</w:t>
            </w:r>
          </w:p>
        </w:tc>
        <w:tc>
          <w:tcPr>
            <w:tcW w:w="1051" w:type="dxa"/>
            <w:tcBorders>
              <w:top w:val="single" w:sz="4" w:space="0" w:color="auto"/>
              <w:left w:val="single" w:sz="4" w:space="0" w:color="auto"/>
              <w:bottom w:val="single" w:sz="4" w:space="0" w:color="auto"/>
              <w:right w:val="single" w:sz="4" w:space="0" w:color="auto"/>
            </w:tcBorders>
          </w:tcPr>
          <w:p w14:paraId="5E1A2089" w14:textId="6B1D73A3" w:rsidR="009E7FC4" w:rsidRPr="00F91E4B" w:rsidRDefault="009E7FC4" w:rsidP="00F91E4B">
            <w:pPr>
              <w:spacing w:after="0" w:line="240" w:lineRule="auto"/>
              <w:jc w:val="center"/>
              <w:rPr>
                <w:sz w:val="28"/>
                <w:szCs w:val="28"/>
              </w:rPr>
            </w:pPr>
            <w:r w:rsidRPr="00F91E4B">
              <w:rPr>
                <w:sz w:val="28"/>
                <w:szCs w:val="28"/>
              </w:rPr>
              <w:t>Giáo dục và Đào tạo thuộc hệ thống giáo dục quốc dân</w:t>
            </w:r>
          </w:p>
        </w:tc>
        <w:tc>
          <w:tcPr>
            <w:tcW w:w="1475" w:type="dxa"/>
            <w:tcBorders>
              <w:top w:val="single" w:sz="4" w:space="0" w:color="auto"/>
              <w:left w:val="single" w:sz="4" w:space="0" w:color="auto"/>
              <w:bottom w:val="single" w:sz="4" w:space="0" w:color="auto"/>
              <w:right w:val="single" w:sz="4" w:space="0" w:color="auto"/>
            </w:tcBorders>
            <w:vAlign w:val="center"/>
          </w:tcPr>
          <w:p w14:paraId="2B5F1444" w14:textId="336B9AF4" w:rsidR="009E7FC4" w:rsidRPr="00F91E4B" w:rsidRDefault="009E7FC4" w:rsidP="00F91E4B">
            <w:pPr>
              <w:autoSpaceDE w:val="0"/>
              <w:autoSpaceDN w:val="0"/>
              <w:adjustRightInd w:val="0"/>
              <w:spacing w:after="0" w:line="240" w:lineRule="auto"/>
              <w:jc w:val="center"/>
              <w:rPr>
                <w:rFonts w:eastAsia="Calibri"/>
                <w:sz w:val="28"/>
                <w:szCs w:val="28"/>
                <w:lang w:val="en-US"/>
              </w:rPr>
            </w:pPr>
            <w:r w:rsidRPr="00F91E4B">
              <w:rPr>
                <w:sz w:val="28"/>
                <w:szCs w:val="28"/>
                <w:shd w:val="clear" w:color="auto" w:fill="FFFFFF"/>
                <w:lang w:val="en-US"/>
              </w:rPr>
              <w:t>Huyện</w:t>
            </w:r>
          </w:p>
        </w:tc>
        <w:tc>
          <w:tcPr>
            <w:tcW w:w="1575" w:type="dxa"/>
            <w:tcBorders>
              <w:top w:val="single" w:sz="4" w:space="0" w:color="auto"/>
              <w:left w:val="single" w:sz="4" w:space="0" w:color="auto"/>
              <w:bottom w:val="single" w:sz="4" w:space="0" w:color="auto"/>
              <w:right w:val="single" w:sz="4" w:space="0" w:color="auto"/>
            </w:tcBorders>
            <w:vAlign w:val="center"/>
          </w:tcPr>
          <w:p w14:paraId="79994F23" w14:textId="77777777" w:rsidR="009E7FC4" w:rsidRPr="00F91E4B" w:rsidRDefault="009E7FC4" w:rsidP="00F91E4B">
            <w:pPr>
              <w:spacing w:after="0" w:line="240" w:lineRule="auto"/>
              <w:jc w:val="center"/>
              <w:rPr>
                <w:sz w:val="28"/>
                <w:szCs w:val="28"/>
                <w:lang w:val="nl-NL"/>
              </w:rPr>
            </w:pPr>
            <w:r w:rsidRPr="00F91E4B">
              <w:rPr>
                <w:sz w:val="28"/>
                <w:szCs w:val="28"/>
                <w:shd w:val="clear" w:color="auto" w:fill="FFFFFF"/>
                <w:lang w:val="en-US"/>
              </w:rPr>
              <w:t>Công bố mới</w:t>
            </w:r>
          </w:p>
        </w:tc>
        <w:tc>
          <w:tcPr>
            <w:tcW w:w="3295" w:type="dxa"/>
            <w:tcBorders>
              <w:top w:val="single" w:sz="4" w:space="0" w:color="auto"/>
              <w:left w:val="single" w:sz="4" w:space="0" w:color="auto"/>
              <w:bottom w:val="single" w:sz="4" w:space="0" w:color="auto"/>
              <w:right w:val="single" w:sz="4" w:space="0" w:color="auto"/>
            </w:tcBorders>
            <w:vAlign w:val="center"/>
          </w:tcPr>
          <w:p w14:paraId="097DFB23" w14:textId="77777777" w:rsidR="009E7FC4" w:rsidRPr="00F91E4B" w:rsidRDefault="009E7FC4" w:rsidP="00F91E4B">
            <w:pPr>
              <w:spacing w:after="0" w:line="240" w:lineRule="auto"/>
              <w:jc w:val="both"/>
              <w:rPr>
                <w:sz w:val="28"/>
                <w:szCs w:val="28"/>
              </w:rPr>
            </w:pPr>
            <w:r w:rsidRPr="00F91E4B">
              <w:rPr>
                <w:sz w:val="28"/>
                <w:szCs w:val="28"/>
                <w:lang w:val="nl-NL"/>
              </w:rPr>
              <w:t>Thông tư số 24/2023/TT-BGDĐT ngày 11/12/2023 của Bộ trưởng Bộ Giáo dục và Đào tạo quy định về đánh giá, công nhận “Đơn vị học tập” cấp huyện, tỉnh.</w:t>
            </w:r>
          </w:p>
        </w:tc>
      </w:tr>
      <w:tr w:rsidR="00F91E4B" w:rsidRPr="00F91E4B" w14:paraId="73195E16" w14:textId="77777777" w:rsidTr="005A1F65">
        <w:trPr>
          <w:trHeight w:val="279"/>
          <w:jc w:val="center"/>
        </w:trPr>
        <w:tc>
          <w:tcPr>
            <w:tcW w:w="723" w:type="dxa"/>
            <w:tcBorders>
              <w:top w:val="single" w:sz="4" w:space="0" w:color="auto"/>
              <w:left w:val="single" w:sz="4" w:space="0" w:color="auto"/>
              <w:bottom w:val="single" w:sz="4" w:space="0" w:color="auto"/>
              <w:right w:val="single" w:sz="4" w:space="0" w:color="auto"/>
            </w:tcBorders>
            <w:vAlign w:val="center"/>
          </w:tcPr>
          <w:p w14:paraId="56819DAD" w14:textId="77777777" w:rsidR="00E2534E" w:rsidRPr="00F91E4B" w:rsidRDefault="00E2534E" w:rsidP="00F91E4B">
            <w:pPr>
              <w:autoSpaceDE w:val="0"/>
              <w:autoSpaceDN w:val="0"/>
              <w:adjustRightInd w:val="0"/>
              <w:spacing w:after="0" w:line="240" w:lineRule="auto"/>
              <w:ind w:right="-87"/>
              <w:jc w:val="center"/>
              <w:rPr>
                <w:rFonts w:eastAsia="Calibri"/>
                <w:sz w:val="28"/>
                <w:szCs w:val="28"/>
                <w:lang w:val="en-US"/>
              </w:rPr>
            </w:pPr>
            <w:r w:rsidRPr="00F91E4B">
              <w:rPr>
                <w:rFonts w:eastAsia="Calibri"/>
                <w:sz w:val="28"/>
                <w:szCs w:val="28"/>
                <w:lang w:val="en-US"/>
              </w:rPr>
              <w:t>2</w:t>
            </w:r>
          </w:p>
        </w:tc>
        <w:tc>
          <w:tcPr>
            <w:tcW w:w="1657" w:type="dxa"/>
            <w:tcBorders>
              <w:top w:val="single" w:sz="4" w:space="0" w:color="auto"/>
              <w:left w:val="single" w:sz="4" w:space="0" w:color="auto"/>
              <w:bottom w:val="single" w:sz="4" w:space="0" w:color="auto"/>
              <w:right w:val="single" w:sz="4" w:space="0" w:color="auto"/>
            </w:tcBorders>
          </w:tcPr>
          <w:p w14:paraId="458AE9E9" w14:textId="0D50D1C9" w:rsidR="00E2534E" w:rsidRPr="00F91E4B" w:rsidRDefault="00B35BAE" w:rsidP="00F91E4B">
            <w:pPr>
              <w:spacing w:after="0" w:line="240" w:lineRule="auto"/>
              <w:ind w:firstLine="12"/>
              <w:jc w:val="both"/>
              <w:rPr>
                <w:sz w:val="28"/>
                <w:szCs w:val="28"/>
              </w:rPr>
            </w:pPr>
            <w:r w:rsidRPr="00F91E4B">
              <w:rPr>
                <w:sz w:val="28"/>
                <w:szCs w:val="28"/>
              </w:rPr>
              <w:t>Đề nghị đánh giá, công nhận “Cộng đồng học tập” cấp xã.</w:t>
            </w:r>
          </w:p>
        </w:tc>
        <w:tc>
          <w:tcPr>
            <w:tcW w:w="1051" w:type="dxa"/>
            <w:tcBorders>
              <w:top w:val="single" w:sz="4" w:space="0" w:color="auto"/>
              <w:left w:val="single" w:sz="4" w:space="0" w:color="auto"/>
              <w:bottom w:val="single" w:sz="4" w:space="0" w:color="auto"/>
              <w:right w:val="single" w:sz="4" w:space="0" w:color="auto"/>
            </w:tcBorders>
          </w:tcPr>
          <w:p w14:paraId="7D3C7758" w14:textId="77777777" w:rsidR="00E2534E" w:rsidRPr="00F91E4B" w:rsidRDefault="00E2534E" w:rsidP="00F91E4B">
            <w:pPr>
              <w:spacing w:after="0" w:line="240" w:lineRule="auto"/>
              <w:jc w:val="center"/>
              <w:rPr>
                <w:sz w:val="28"/>
                <w:szCs w:val="28"/>
                <w:lang w:val="en-US"/>
              </w:rPr>
            </w:pPr>
            <w:r w:rsidRPr="00F91E4B">
              <w:rPr>
                <w:sz w:val="28"/>
                <w:szCs w:val="28"/>
              </w:rPr>
              <w:t>Giáo dục và Đào tạo thuộc hệ thống giáo dục quốc dân</w:t>
            </w:r>
          </w:p>
        </w:tc>
        <w:tc>
          <w:tcPr>
            <w:tcW w:w="1475" w:type="dxa"/>
            <w:tcBorders>
              <w:top w:val="single" w:sz="4" w:space="0" w:color="auto"/>
              <w:left w:val="single" w:sz="4" w:space="0" w:color="auto"/>
              <w:bottom w:val="single" w:sz="4" w:space="0" w:color="auto"/>
              <w:right w:val="single" w:sz="4" w:space="0" w:color="auto"/>
            </w:tcBorders>
            <w:vAlign w:val="center"/>
          </w:tcPr>
          <w:p w14:paraId="13BB53CC" w14:textId="0A682C0A" w:rsidR="00E2534E" w:rsidRPr="00F91E4B" w:rsidRDefault="00B35BAE" w:rsidP="00F91E4B">
            <w:pPr>
              <w:autoSpaceDE w:val="0"/>
              <w:autoSpaceDN w:val="0"/>
              <w:adjustRightInd w:val="0"/>
              <w:spacing w:after="0" w:line="240" w:lineRule="auto"/>
              <w:jc w:val="center"/>
              <w:rPr>
                <w:sz w:val="28"/>
                <w:szCs w:val="28"/>
                <w:shd w:val="clear" w:color="auto" w:fill="FFFFFF"/>
                <w:lang w:val="en-US"/>
              </w:rPr>
            </w:pPr>
            <w:r w:rsidRPr="00F91E4B">
              <w:rPr>
                <w:sz w:val="28"/>
                <w:szCs w:val="28"/>
                <w:shd w:val="clear" w:color="auto" w:fill="FFFFFF"/>
                <w:lang w:val="en-US"/>
              </w:rPr>
              <w:t>Huyện</w:t>
            </w:r>
          </w:p>
        </w:tc>
        <w:tc>
          <w:tcPr>
            <w:tcW w:w="1575" w:type="dxa"/>
            <w:tcBorders>
              <w:top w:val="single" w:sz="4" w:space="0" w:color="auto"/>
              <w:left w:val="single" w:sz="4" w:space="0" w:color="auto"/>
              <w:bottom w:val="single" w:sz="4" w:space="0" w:color="auto"/>
              <w:right w:val="single" w:sz="4" w:space="0" w:color="auto"/>
            </w:tcBorders>
            <w:vAlign w:val="center"/>
          </w:tcPr>
          <w:p w14:paraId="148A7115" w14:textId="7B85EC9A" w:rsidR="00E2534E" w:rsidRPr="00F91E4B" w:rsidRDefault="00B35BAE" w:rsidP="00F91E4B">
            <w:pPr>
              <w:spacing w:after="0" w:line="240" w:lineRule="auto"/>
              <w:jc w:val="center"/>
              <w:rPr>
                <w:sz w:val="28"/>
                <w:szCs w:val="28"/>
                <w:shd w:val="clear" w:color="auto" w:fill="FFFFFF"/>
              </w:rPr>
            </w:pPr>
            <w:r w:rsidRPr="00F91E4B">
              <w:rPr>
                <w:sz w:val="28"/>
                <w:szCs w:val="28"/>
                <w:shd w:val="clear" w:color="auto" w:fill="FFFFFF"/>
                <w:lang w:val="en-US"/>
              </w:rPr>
              <w:t>Thay thế cho TTHC: Quy trình đánh giá, xếp loại “Cộng đồng học tập” cấp xã (</w:t>
            </w:r>
            <w:r w:rsidR="00886C5F" w:rsidRPr="00F91E4B">
              <w:rPr>
                <w:sz w:val="28"/>
                <w:szCs w:val="28"/>
                <w:shd w:val="clear" w:color="auto" w:fill="FFFFFF"/>
                <w:lang w:val="en-US"/>
              </w:rPr>
              <w:t>Mã</w:t>
            </w:r>
            <w:r w:rsidR="003C1DF0" w:rsidRPr="00F91E4B">
              <w:rPr>
                <w:sz w:val="28"/>
                <w:szCs w:val="28"/>
                <w:shd w:val="clear" w:color="auto" w:fill="FFFFFF"/>
                <w:lang w:val="en-US"/>
              </w:rPr>
              <w:t xml:space="preserve"> thủ tục hành chính: 1.005097.000.00.00.H53</w:t>
            </w:r>
            <w:r w:rsidRPr="00F91E4B">
              <w:rPr>
                <w:sz w:val="28"/>
                <w:szCs w:val="28"/>
                <w:shd w:val="clear" w:color="auto" w:fill="FFFFFF"/>
                <w:lang w:val="en-US"/>
              </w:rPr>
              <w:t>)</w:t>
            </w:r>
          </w:p>
        </w:tc>
        <w:tc>
          <w:tcPr>
            <w:tcW w:w="3295" w:type="dxa"/>
            <w:tcBorders>
              <w:top w:val="single" w:sz="4" w:space="0" w:color="auto"/>
              <w:left w:val="single" w:sz="4" w:space="0" w:color="auto"/>
              <w:bottom w:val="single" w:sz="4" w:space="0" w:color="auto"/>
              <w:right w:val="single" w:sz="4" w:space="0" w:color="auto"/>
            </w:tcBorders>
            <w:vAlign w:val="center"/>
          </w:tcPr>
          <w:p w14:paraId="1E210068" w14:textId="77777777" w:rsidR="00E2534E" w:rsidRPr="00F91E4B" w:rsidRDefault="00E2534E" w:rsidP="00F91E4B">
            <w:pPr>
              <w:spacing w:after="0" w:line="240" w:lineRule="auto"/>
              <w:jc w:val="both"/>
              <w:rPr>
                <w:sz w:val="28"/>
                <w:szCs w:val="28"/>
                <w:lang w:val="nl-NL"/>
              </w:rPr>
            </w:pPr>
            <w:r w:rsidRPr="00F91E4B">
              <w:rPr>
                <w:sz w:val="28"/>
                <w:szCs w:val="28"/>
                <w:lang w:val="nl-NL"/>
              </w:rPr>
              <w:t>Thông tư số 25/2023/TT-BGDĐT ngày 27 tháng 12 năm 2023 của Bộ trưởng Bộ Giáo dục và Đào tạo quy định về đánh giá, công nhận “Cộng đồng học tập” cấp xã, huyện, tỉnh.</w:t>
            </w:r>
          </w:p>
        </w:tc>
      </w:tr>
    </w:tbl>
    <w:p w14:paraId="2F3B56B2" w14:textId="77777777" w:rsidR="00E2534E" w:rsidRPr="003D279A" w:rsidRDefault="00E2534E" w:rsidP="000B04E9">
      <w:pPr>
        <w:spacing w:before="120" w:after="120"/>
        <w:rPr>
          <w:rFonts w:eastAsia="Calibri"/>
          <w:b/>
          <w:szCs w:val="24"/>
          <w:lang w:val="en-US"/>
        </w:rPr>
      </w:pPr>
    </w:p>
    <w:sectPr w:rsidR="00E2534E" w:rsidRPr="003D279A" w:rsidSect="00842978">
      <w:headerReference w:type="default" r:id="rId6"/>
      <w:pgSz w:w="11900" w:h="16840"/>
      <w:pgMar w:top="1134" w:right="985" w:bottom="1134"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D763" w14:textId="77777777" w:rsidR="00842978" w:rsidRDefault="00842978">
      <w:pPr>
        <w:spacing w:after="0" w:line="240" w:lineRule="auto"/>
      </w:pPr>
      <w:r>
        <w:separator/>
      </w:r>
    </w:p>
  </w:endnote>
  <w:endnote w:type="continuationSeparator" w:id="0">
    <w:p w14:paraId="6484E934" w14:textId="77777777" w:rsidR="00842978" w:rsidRDefault="0084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313A" w14:textId="77777777" w:rsidR="00842978" w:rsidRDefault="00842978">
      <w:pPr>
        <w:spacing w:after="0" w:line="240" w:lineRule="auto"/>
      </w:pPr>
      <w:r>
        <w:separator/>
      </w:r>
    </w:p>
  </w:footnote>
  <w:footnote w:type="continuationSeparator" w:id="0">
    <w:p w14:paraId="4CB616F2" w14:textId="77777777" w:rsidR="00842978" w:rsidRDefault="0084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A8B8" w14:textId="77777777" w:rsidR="00253D2A" w:rsidRDefault="00253D2A">
    <w:pPr>
      <w:pStyle w:val="Header"/>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sidRPr="00A83CAF">
      <w:rPr>
        <w:rFonts w:ascii="Times New Roman" w:hAnsi="Times New Roman"/>
        <w:noProof/>
        <w:sz w:val="28"/>
        <w:lang w:val="en-US"/>
      </w:rPr>
      <w:t>2</w:t>
    </w:r>
    <w:r>
      <w:rPr>
        <w:rFonts w:ascii="Times New Roman" w:hAnsi="Times New Roman"/>
        <w:sz w:val="28"/>
        <w:lang w:val="en-US"/>
      </w:rPr>
      <w:fldChar w:fldCharType="end"/>
    </w:r>
  </w:p>
  <w:p w14:paraId="7DD36ACA" w14:textId="77777777" w:rsidR="00253D2A" w:rsidRDefault="00253D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578"/>
    <w:rsid w:val="00000EAB"/>
    <w:rsid w:val="0000315B"/>
    <w:rsid w:val="00004326"/>
    <w:rsid w:val="000057C9"/>
    <w:rsid w:val="00005FF1"/>
    <w:rsid w:val="00006035"/>
    <w:rsid w:val="000062D1"/>
    <w:rsid w:val="000073E4"/>
    <w:rsid w:val="00011A9D"/>
    <w:rsid w:val="00012EEC"/>
    <w:rsid w:val="00015C36"/>
    <w:rsid w:val="0001727C"/>
    <w:rsid w:val="00017AF7"/>
    <w:rsid w:val="00021434"/>
    <w:rsid w:val="00022C9B"/>
    <w:rsid w:val="00026CD6"/>
    <w:rsid w:val="00034B51"/>
    <w:rsid w:val="00043BC1"/>
    <w:rsid w:val="00044574"/>
    <w:rsid w:val="00044AEB"/>
    <w:rsid w:val="00046809"/>
    <w:rsid w:val="0004712D"/>
    <w:rsid w:val="000544F1"/>
    <w:rsid w:val="000559CD"/>
    <w:rsid w:val="0006003B"/>
    <w:rsid w:val="0006018F"/>
    <w:rsid w:val="00062079"/>
    <w:rsid w:val="00065D71"/>
    <w:rsid w:val="00072D62"/>
    <w:rsid w:val="00075290"/>
    <w:rsid w:val="000773DB"/>
    <w:rsid w:val="00080103"/>
    <w:rsid w:val="00080693"/>
    <w:rsid w:val="00080FB3"/>
    <w:rsid w:val="00083756"/>
    <w:rsid w:val="00087330"/>
    <w:rsid w:val="00090DFB"/>
    <w:rsid w:val="000977B7"/>
    <w:rsid w:val="00097881"/>
    <w:rsid w:val="000A1BF2"/>
    <w:rsid w:val="000A20AD"/>
    <w:rsid w:val="000A4A1C"/>
    <w:rsid w:val="000A797E"/>
    <w:rsid w:val="000B04E9"/>
    <w:rsid w:val="000B2CA7"/>
    <w:rsid w:val="000C0265"/>
    <w:rsid w:val="000C1B82"/>
    <w:rsid w:val="000C3CF4"/>
    <w:rsid w:val="000C3FCE"/>
    <w:rsid w:val="000C575A"/>
    <w:rsid w:val="000D3238"/>
    <w:rsid w:val="000D708A"/>
    <w:rsid w:val="000E0DDD"/>
    <w:rsid w:val="000E216E"/>
    <w:rsid w:val="000F1251"/>
    <w:rsid w:val="000F1745"/>
    <w:rsid w:val="000F2CCC"/>
    <w:rsid w:val="00105420"/>
    <w:rsid w:val="00105CAA"/>
    <w:rsid w:val="00116274"/>
    <w:rsid w:val="00120DDD"/>
    <w:rsid w:val="00120EC3"/>
    <w:rsid w:val="0012503C"/>
    <w:rsid w:val="00125CCC"/>
    <w:rsid w:val="00126632"/>
    <w:rsid w:val="001267EC"/>
    <w:rsid w:val="00133944"/>
    <w:rsid w:val="00135D90"/>
    <w:rsid w:val="001360FA"/>
    <w:rsid w:val="00136C7F"/>
    <w:rsid w:val="00140EFA"/>
    <w:rsid w:val="00143CF7"/>
    <w:rsid w:val="001454AD"/>
    <w:rsid w:val="00145886"/>
    <w:rsid w:val="00147F2C"/>
    <w:rsid w:val="00162578"/>
    <w:rsid w:val="00163854"/>
    <w:rsid w:val="00175FE4"/>
    <w:rsid w:val="00182903"/>
    <w:rsid w:val="00184334"/>
    <w:rsid w:val="00184FFF"/>
    <w:rsid w:val="00185E1F"/>
    <w:rsid w:val="00186140"/>
    <w:rsid w:val="00186647"/>
    <w:rsid w:val="001937E8"/>
    <w:rsid w:val="00195984"/>
    <w:rsid w:val="001A429C"/>
    <w:rsid w:val="001A4DB1"/>
    <w:rsid w:val="001B21E7"/>
    <w:rsid w:val="001B4846"/>
    <w:rsid w:val="001C0009"/>
    <w:rsid w:val="001C3CED"/>
    <w:rsid w:val="001C60E2"/>
    <w:rsid w:val="001C630F"/>
    <w:rsid w:val="001C6DDE"/>
    <w:rsid w:val="001D0E2A"/>
    <w:rsid w:val="001D22E3"/>
    <w:rsid w:val="001D3919"/>
    <w:rsid w:val="001D5750"/>
    <w:rsid w:val="001D5EE3"/>
    <w:rsid w:val="001D750E"/>
    <w:rsid w:val="001D7FF4"/>
    <w:rsid w:val="001E21BC"/>
    <w:rsid w:val="001E29C2"/>
    <w:rsid w:val="001F01D6"/>
    <w:rsid w:val="001F0369"/>
    <w:rsid w:val="001F0A75"/>
    <w:rsid w:val="001F3AD7"/>
    <w:rsid w:val="001F520A"/>
    <w:rsid w:val="001F6478"/>
    <w:rsid w:val="00200D02"/>
    <w:rsid w:val="00207830"/>
    <w:rsid w:val="00211C0F"/>
    <w:rsid w:val="00211EAD"/>
    <w:rsid w:val="0021231B"/>
    <w:rsid w:val="002145E6"/>
    <w:rsid w:val="00215CBE"/>
    <w:rsid w:val="002229FB"/>
    <w:rsid w:val="002275B5"/>
    <w:rsid w:val="00230C29"/>
    <w:rsid w:val="00231016"/>
    <w:rsid w:val="00233A0E"/>
    <w:rsid w:val="00235D7A"/>
    <w:rsid w:val="00235E61"/>
    <w:rsid w:val="00236154"/>
    <w:rsid w:val="00253080"/>
    <w:rsid w:val="00253D2A"/>
    <w:rsid w:val="002631F4"/>
    <w:rsid w:val="00265A1D"/>
    <w:rsid w:val="0027035A"/>
    <w:rsid w:val="00272DA6"/>
    <w:rsid w:val="00273EED"/>
    <w:rsid w:val="00274900"/>
    <w:rsid w:val="002776A9"/>
    <w:rsid w:val="002776C1"/>
    <w:rsid w:val="002777FC"/>
    <w:rsid w:val="00280217"/>
    <w:rsid w:val="00284244"/>
    <w:rsid w:val="00292341"/>
    <w:rsid w:val="00293676"/>
    <w:rsid w:val="002946CA"/>
    <w:rsid w:val="002A2AAF"/>
    <w:rsid w:val="002A4BB8"/>
    <w:rsid w:val="002A4E49"/>
    <w:rsid w:val="002A566F"/>
    <w:rsid w:val="002A606C"/>
    <w:rsid w:val="002A72B3"/>
    <w:rsid w:val="002B0908"/>
    <w:rsid w:val="002B1766"/>
    <w:rsid w:val="002B181F"/>
    <w:rsid w:val="002B39F1"/>
    <w:rsid w:val="002B7485"/>
    <w:rsid w:val="002C0E7F"/>
    <w:rsid w:val="002C1D83"/>
    <w:rsid w:val="002C7A46"/>
    <w:rsid w:val="002D0F5C"/>
    <w:rsid w:val="002E1A28"/>
    <w:rsid w:val="002E3D2E"/>
    <w:rsid w:val="002E45F3"/>
    <w:rsid w:val="002E52FF"/>
    <w:rsid w:val="002E5B91"/>
    <w:rsid w:val="002E67F2"/>
    <w:rsid w:val="002E6BB0"/>
    <w:rsid w:val="002E6BC0"/>
    <w:rsid w:val="002F2AD1"/>
    <w:rsid w:val="002F5B67"/>
    <w:rsid w:val="002F7B90"/>
    <w:rsid w:val="002F7E7B"/>
    <w:rsid w:val="002F7FC1"/>
    <w:rsid w:val="00300243"/>
    <w:rsid w:val="00303038"/>
    <w:rsid w:val="003046DF"/>
    <w:rsid w:val="00307ABB"/>
    <w:rsid w:val="00314303"/>
    <w:rsid w:val="00315871"/>
    <w:rsid w:val="00317419"/>
    <w:rsid w:val="00317714"/>
    <w:rsid w:val="00321333"/>
    <w:rsid w:val="00321B37"/>
    <w:rsid w:val="00322033"/>
    <w:rsid w:val="003254BD"/>
    <w:rsid w:val="00326E24"/>
    <w:rsid w:val="00327DA1"/>
    <w:rsid w:val="00327F7B"/>
    <w:rsid w:val="00327F91"/>
    <w:rsid w:val="003302D5"/>
    <w:rsid w:val="00331605"/>
    <w:rsid w:val="003334BB"/>
    <w:rsid w:val="00340420"/>
    <w:rsid w:val="00340B73"/>
    <w:rsid w:val="00347184"/>
    <w:rsid w:val="00347441"/>
    <w:rsid w:val="0034744C"/>
    <w:rsid w:val="00357ACA"/>
    <w:rsid w:val="00364142"/>
    <w:rsid w:val="00366015"/>
    <w:rsid w:val="00375C58"/>
    <w:rsid w:val="00376189"/>
    <w:rsid w:val="003823E8"/>
    <w:rsid w:val="00383850"/>
    <w:rsid w:val="00384DBC"/>
    <w:rsid w:val="00385502"/>
    <w:rsid w:val="0038643F"/>
    <w:rsid w:val="00386520"/>
    <w:rsid w:val="003916A1"/>
    <w:rsid w:val="00393618"/>
    <w:rsid w:val="003A08FF"/>
    <w:rsid w:val="003A0FE3"/>
    <w:rsid w:val="003A1458"/>
    <w:rsid w:val="003A5033"/>
    <w:rsid w:val="003A6E62"/>
    <w:rsid w:val="003C074D"/>
    <w:rsid w:val="003C08C4"/>
    <w:rsid w:val="003C1DF0"/>
    <w:rsid w:val="003C4F15"/>
    <w:rsid w:val="003D202C"/>
    <w:rsid w:val="003D279A"/>
    <w:rsid w:val="003D28C1"/>
    <w:rsid w:val="003D5AA5"/>
    <w:rsid w:val="003D5E61"/>
    <w:rsid w:val="003E1855"/>
    <w:rsid w:val="003E25FA"/>
    <w:rsid w:val="003E4ADA"/>
    <w:rsid w:val="003E50EC"/>
    <w:rsid w:val="003E55C8"/>
    <w:rsid w:val="003F0E0A"/>
    <w:rsid w:val="003F1438"/>
    <w:rsid w:val="003F1CD7"/>
    <w:rsid w:val="003F32A1"/>
    <w:rsid w:val="003F5353"/>
    <w:rsid w:val="004040AA"/>
    <w:rsid w:val="004050DD"/>
    <w:rsid w:val="00406125"/>
    <w:rsid w:val="00410B0C"/>
    <w:rsid w:val="0041165A"/>
    <w:rsid w:val="004117C8"/>
    <w:rsid w:val="00413734"/>
    <w:rsid w:val="004141BB"/>
    <w:rsid w:val="00417C25"/>
    <w:rsid w:val="00420A90"/>
    <w:rsid w:val="0042184C"/>
    <w:rsid w:val="004227EE"/>
    <w:rsid w:val="00427542"/>
    <w:rsid w:val="0043187A"/>
    <w:rsid w:val="00431E16"/>
    <w:rsid w:val="00431EDE"/>
    <w:rsid w:val="00432BE1"/>
    <w:rsid w:val="0043466F"/>
    <w:rsid w:val="00434E30"/>
    <w:rsid w:val="0044231F"/>
    <w:rsid w:val="00446936"/>
    <w:rsid w:val="00446945"/>
    <w:rsid w:val="00451D22"/>
    <w:rsid w:val="00452535"/>
    <w:rsid w:val="00456DA6"/>
    <w:rsid w:val="0046340F"/>
    <w:rsid w:val="004657AF"/>
    <w:rsid w:val="004665C8"/>
    <w:rsid w:val="00467A4E"/>
    <w:rsid w:val="00472B27"/>
    <w:rsid w:val="004822DD"/>
    <w:rsid w:val="00482A34"/>
    <w:rsid w:val="00484A89"/>
    <w:rsid w:val="00485A7A"/>
    <w:rsid w:val="0048604C"/>
    <w:rsid w:val="00486CE3"/>
    <w:rsid w:val="004951A2"/>
    <w:rsid w:val="00497BA2"/>
    <w:rsid w:val="004A3BDB"/>
    <w:rsid w:val="004A4B8A"/>
    <w:rsid w:val="004A6C52"/>
    <w:rsid w:val="004A6CF0"/>
    <w:rsid w:val="004B05CC"/>
    <w:rsid w:val="004B472F"/>
    <w:rsid w:val="004B5A53"/>
    <w:rsid w:val="004B77E5"/>
    <w:rsid w:val="004B7D17"/>
    <w:rsid w:val="004C28DA"/>
    <w:rsid w:val="004C2B40"/>
    <w:rsid w:val="004C2D45"/>
    <w:rsid w:val="004C6C16"/>
    <w:rsid w:val="004C7688"/>
    <w:rsid w:val="004D3916"/>
    <w:rsid w:val="004D4E5A"/>
    <w:rsid w:val="004D5979"/>
    <w:rsid w:val="004E0010"/>
    <w:rsid w:val="004E3872"/>
    <w:rsid w:val="004E6A85"/>
    <w:rsid w:val="004E7137"/>
    <w:rsid w:val="004F6D9E"/>
    <w:rsid w:val="00500D29"/>
    <w:rsid w:val="0050117E"/>
    <w:rsid w:val="00505C37"/>
    <w:rsid w:val="00511AC3"/>
    <w:rsid w:val="0051624A"/>
    <w:rsid w:val="0051721D"/>
    <w:rsid w:val="00517228"/>
    <w:rsid w:val="005203C9"/>
    <w:rsid w:val="0052074E"/>
    <w:rsid w:val="00526736"/>
    <w:rsid w:val="005373F7"/>
    <w:rsid w:val="005377F2"/>
    <w:rsid w:val="005515A1"/>
    <w:rsid w:val="005540BD"/>
    <w:rsid w:val="00556752"/>
    <w:rsid w:val="00564EC5"/>
    <w:rsid w:val="00564ECE"/>
    <w:rsid w:val="00565516"/>
    <w:rsid w:val="005706DB"/>
    <w:rsid w:val="005742A3"/>
    <w:rsid w:val="00577491"/>
    <w:rsid w:val="005776F2"/>
    <w:rsid w:val="005808C2"/>
    <w:rsid w:val="00582AFD"/>
    <w:rsid w:val="00583BEA"/>
    <w:rsid w:val="005900A2"/>
    <w:rsid w:val="0059032E"/>
    <w:rsid w:val="005920B5"/>
    <w:rsid w:val="00592C18"/>
    <w:rsid w:val="00593BFE"/>
    <w:rsid w:val="00594280"/>
    <w:rsid w:val="005977D5"/>
    <w:rsid w:val="005A1F65"/>
    <w:rsid w:val="005B2F3C"/>
    <w:rsid w:val="005B6D95"/>
    <w:rsid w:val="005B7319"/>
    <w:rsid w:val="005B761D"/>
    <w:rsid w:val="005C20C0"/>
    <w:rsid w:val="005C37E1"/>
    <w:rsid w:val="005C5280"/>
    <w:rsid w:val="005C6220"/>
    <w:rsid w:val="005C7636"/>
    <w:rsid w:val="005D078B"/>
    <w:rsid w:val="005D2527"/>
    <w:rsid w:val="005D3A0F"/>
    <w:rsid w:val="005D3CDF"/>
    <w:rsid w:val="005D5625"/>
    <w:rsid w:val="005D5A40"/>
    <w:rsid w:val="005D5A8C"/>
    <w:rsid w:val="005E6EA3"/>
    <w:rsid w:val="005E6F38"/>
    <w:rsid w:val="005F2E90"/>
    <w:rsid w:val="005F3C18"/>
    <w:rsid w:val="005F3E13"/>
    <w:rsid w:val="005F448D"/>
    <w:rsid w:val="005F595E"/>
    <w:rsid w:val="005F6C2F"/>
    <w:rsid w:val="005F6D8B"/>
    <w:rsid w:val="005F7119"/>
    <w:rsid w:val="00600C86"/>
    <w:rsid w:val="00601748"/>
    <w:rsid w:val="0060197B"/>
    <w:rsid w:val="006066B2"/>
    <w:rsid w:val="0061564B"/>
    <w:rsid w:val="0062052F"/>
    <w:rsid w:val="00622DDE"/>
    <w:rsid w:val="00623CBA"/>
    <w:rsid w:val="006242AE"/>
    <w:rsid w:val="00625F76"/>
    <w:rsid w:val="006275B0"/>
    <w:rsid w:val="0063106E"/>
    <w:rsid w:val="00632A83"/>
    <w:rsid w:val="00634839"/>
    <w:rsid w:val="006356EA"/>
    <w:rsid w:val="00637C1F"/>
    <w:rsid w:val="00641552"/>
    <w:rsid w:val="00643A93"/>
    <w:rsid w:val="00643AF5"/>
    <w:rsid w:val="00645569"/>
    <w:rsid w:val="00646144"/>
    <w:rsid w:val="00652961"/>
    <w:rsid w:val="006531E3"/>
    <w:rsid w:val="00654A11"/>
    <w:rsid w:val="00656BAC"/>
    <w:rsid w:val="00660E7C"/>
    <w:rsid w:val="00663E08"/>
    <w:rsid w:val="00663F4B"/>
    <w:rsid w:val="00666A40"/>
    <w:rsid w:val="00667FA1"/>
    <w:rsid w:val="00672EB3"/>
    <w:rsid w:val="0067722E"/>
    <w:rsid w:val="0068061E"/>
    <w:rsid w:val="006816A3"/>
    <w:rsid w:val="0068462B"/>
    <w:rsid w:val="0068654D"/>
    <w:rsid w:val="00687DAB"/>
    <w:rsid w:val="0069338C"/>
    <w:rsid w:val="00693695"/>
    <w:rsid w:val="0069584E"/>
    <w:rsid w:val="00696977"/>
    <w:rsid w:val="006977F7"/>
    <w:rsid w:val="00697FE5"/>
    <w:rsid w:val="006A5CDC"/>
    <w:rsid w:val="006A6A2D"/>
    <w:rsid w:val="006B199D"/>
    <w:rsid w:val="006B1A4B"/>
    <w:rsid w:val="006B1FC1"/>
    <w:rsid w:val="006B21BE"/>
    <w:rsid w:val="006B3652"/>
    <w:rsid w:val="006C3078"/>
    <w:rsid w:val="006C4E40"/>
    <w:rsid w:val="006C505B"/>
    <w:rsid w:val="006C5F33"/>
    <w:rsid w:val="006C703A"/>
    <w:rsid w:val="006D288C"/>
    <w:rsid w:val="006D3CBA"/>
    <w:rsid w:val="006D4709"/>
    <w:rsid w:val="006E27C3"/>
    <w:rsid w:val="006E2FAD"/>
    <w:rsid w:val="006E4828"/>
    <w:rsid w:val="006E4EE1"/>
    <w:rsid w:val="006F087F"/>
    <w:rsid w:val="006F0982"/>
    <w:rsid w:val="00701DC9"/>
    <w:rsid w:val="0070372F"/>
    <w:rsid w:val="007041B8"/>
    <w:rsid w:val="007051EF"/>
    <w:rsid w:val="00705FF8"/>
    <w:rsid w:val="00706555"/>
    <w:rsid w:val="00710BF4"/>
    <w:rsid w:val="00715B7C"/>
    <w:rsid w:val="00716F54"/>
    <w:rsid w:val="0071719B"/>
    <w:rsid w:val="007177FA"/>
    <w:rsid w:val="0072480C"/>
    <w:rsid w:val="00724F11"/>
    <w:rsid w:val="007306BA"/>
    <w:rsid w:val="007310EB"/>
    <w:rsid w:val="007313B3"/>
    <w:rsid w:val="00734FE9"/>
    <w:rsid w:val="0073536A"/>
    <w:rsid w:val="00737A72"/>
    <w:rsid w:val="00742FC3"/>
    <w:rsid w:val="007441A7"/>
    <w:rsid w:val="00746682"/>
    <w:rsid w:val="00752832"/>
    <w:rsid w:val="00757769"/>
    <w:rsid w:val="007600AD"/>
    <w:rsid w:val="007606A9"/>
    <w:rsid w:val="007610F2"/>
    <w:rsid w:val="007612BD"/>
    <w:rsid w:val="007643EF"/>
    <w:rsid w:val="00764BD2"/>
    <w:rsid w:val="00767ADC"/>
    <w:rsid w:val="0077147C"/>
    <w:rsid w:val="007734CF"/>
    <w:rsid w:val="00773D97"/>
    <w:rsid w:val="00775CB5"/>
    <w:rsid w:val="0077687B"/>
    <w:rsid w:val="0079140A"/>
    <w:rsid w:val="00793CFB"/>
    <w:rsid w:val="00793FF7"/>
    <w:rsid w:val="00795CCB"/>
    <w:rsid w:val="007A3D39"/>
    <w:rsid w:val="007A5DCB"/>
    <w:rsid w:val="007A797D"/>
    <w:rsid w:val="007B0C1D"/>
    <w:rsid w:val="007B23C8"/>
    <w:rsid w:val="007B65BD"/>
    <w:rsid w:val="007B7159"/>
    <w:rsid w:val="007C1416"/>
    <w:rsid w:val="007C1B97"/>
    <w:rsid w:val="007C50D4"/>
    <w:rsid w:val="007C67F1"/>
    <w:rsid w:val="007D32A3"/>
    <w:rsid w:val="007D3B06"/>
    <w:rsid w:val="007E1400"/>
    <w:rsid w:val="007E1EA5"/>
    <w:rsid w:val="007E4938"/>
    <w:rsid w:val="007E6AF9"/>
    <w:rsid w:val="007E700F"/>
    <w:rsid w:val="007E7125"/>
    <w:rsid w:val="007F1CF2"/>
    <w:rsid w:val="00801FCE"/>
    <w:rsid w:val="00802E11"/>
    <w:rsid w:val="008047AB"/>
    <w:rsid w:val="0080607E"/>
    <w:rsid w:val="00806334"/>
    <w:rsid w:val="00812806"/>
    <w:rsid w:val="00815AAF"/>
    <w:rsid w:val="0082109F"/>
    <w:rsid w:val="00822488"/>
    <w:rsid w:val="00827185"/>
    <w:rsid w:val="0083075A"/>
    <w:rsid w:val="00831C6D"/>
    <w:rsid w:val="00833493"/>
    <w:rsid w:val="00837C82"/>
    <w:rsid w:val="0084070C"/>
    <w:rsid w:val="00842978"/>
    <w:rsid w:val="00843871"/>
    <w:rsid w:val="0084452B"/>
    <w:rsid w:val="00845B24"/>
    <w:rsid w:val="00845EB4"/>
    <w:rsid w:val="00846468"/>
    <w:rsid w:val="00847528"/>
    <w:rsid w:val="00853435"/>
    <w:rsid w:val="00862AD1"/>
    <w:rsid w:val="00862D84"/>
    <w:rsid w:val="008678AB"/>
    <w:rsid w:val="00872385"/>
    <w:rsid w:val="00875885"/>
    <w:rsid w:val="00880502"/>
    <w:rsid w:val="0088326B"/>
    <w:rsid w:val="00886C5F"/>
    <w:rsid w:val="00896B09"/>
    <w:rsid w:val="00897976"/>
    <w:rsid w:val="00897BD4"/>
    <w:rsid w:val="008A21D2"/>
    <w:rsid w:val="008A41C0"/>
    <w:rsid w:val="008A644A"/>
    <w:rsid w:val="008B2022"/>
    <w:rsid w:val="008B299B"/>
    <w:rsid w:val="008B3F86"/>
    <w:rsid w:val="008B40DC"/>
    <w:rsid w:val="008B5C2C"/>
    <w:rsid w:val="008B6BA6"/>
    <w:rsid w:val="008C0F70"/>
    <w:rsid w:val="008C1EBD"/>
    <w:rsid w:val="008C4DE0"/>
    <w:rsid w:val="008C55EF"/>
    <w:rsid w:val="008C667D"/>
    <w:rsid w:val="008C73B8"/>
    <w:rsid w:val="008C7F93"/>
    <w:rsid w:val="008D0C20"/>
    <w:rsid w:val="008D61E1"/>
    <w:rsid w:val="008D77AB"/>
    <w:rsid w:val="008E019C"/>
    <w:rsid w:val="008E20E5"/>
    <w:rsid w:val="008E3B63"/>
    <w:rsid w:val="008E3DB2"/>
    <w:rsid w:val="008E732F"/>
    <w:rsid w:val="008F5922"/>
    <w:rsid w:val="008F5943"/>
    <w:rsid w:val="0090106B"/>
    <w:rsid w:val="00902560"/>
    <w:rsid w:val="00903746"/>
    <w:rsid w:val="00904591"/>
    <w:rsid w:val="00905176"/>
    <w:rsid w:val="00906F18"/>
    <w:rsid w:val="00912A61"/>
    <w:rsid w:val="00915A11"/>
    <w:rsid w:val="00915E67"/>
    <w:rsid w:val="00921477"/>
    <w:rsid w:val="009260D4"/>
    <w:rsid w:val="00926CBB"/>
    <w:rsid w:val="00930EB1"/>
    <w:rsid w:val="00933D11"/>
    <w:rsid w:val="00937440"/>
    <w:rsid w:val="00942B43"/>
    <w:rsid w:val="00946F61"/>
    <w:rsid w:val="009507AF"/>
    <w:rsid w:val="0095119F"/>
    <w:rsid w:val="00952963"/>
    <w:rsid w:val="00954113"/>
    <w:rsid w:val="00954264"/>
    <w:rsid w:val="00963CAF"/>
    <w:rsid w:val="00963DFF"/>
    <w:rsid w:val="00965416"/>
    <w:rsid w:val="00975864"/>
    <w:rsid w:val="009800AD"/>
    <w:rsid w:val="00983C9B"/>
    <w:rsid w:val="00984E68"/>
    <w:rsid w:val="009A20CD"/>
    <w:rsid w:val="009A36B4"/>
    <w:rsid w:val="009A4301"/>
    <w:rsid w:val="009A5AC4"/>
    <w:rsid w:val="009B1C4E"/>
    <w:rsid w:val="009C0504"/>
    <w:rsid w:val="009C180B"/>
    <w:rsid w:val="009C33EF"/>
    <w:rsid w:val="009C42F4"/>
    <w:rsid w:val="009C628B"/>
    <w:rsid w:val="009D02F9"/>
    <w:rsid w:val="009D1BB8"/>
    <w:rsid w:val="009D62DF"/>
    <w:rsid w:val="009E1535"/>
    <w:rsid w:val="009E3FB5"/>
    <w:rsid w:val="009E6EAA"/>
    <w:rsid w:val="009E7FC2"/>
    <w:rsid w:val="009E7FC4"/>
    <w:rsid w:val="009F1009"/>
    <w:rsid w:val="009F1982"/>
    <w:rsid w:val="009F1D43"/>
    <w:rsid w:val="009F32A3"/>
    <w:rsid w:val="00A01BC2"/>
    <w:rsid w:val="00A11566"/>
    <w:rsid w:val="00A127D9"/>
    <w:rsid w:val="00A15698"/>
    <w:rsid w:val="00A16CB1"/>
    <w:rsid w:val="00A1787B"/>
    <w:rsid w:val="00A17ED3"/>
    <w:rsid w:val="00A210BC"/>
    <w:rsid w:val="00A215F1"/>
    <w:rsid w:val="00A2174E"/>
    <w:rsid w:val="00A21D22"/>
    <w:rsid w:val="00A22BC4"/>
    <w:rsid w:val="00A2442E"/>
    <w:rsid w:val="00A24A80"/>
    <w:rsid w:val="00A2620B"/>
    <w:rsid w:val="00A26E2E"/>
    <w:rsid w:val="00A3119E"/>
    <w:rsid w:val="00A41336"/>
    <w:rsid w:val="00A435D8"/>
    <w:rsid w:val="00A4392C"/>
    <w:rsid w:val="00A44B8C"/>
    <w:rsid w:val="00A475CB"/>
    <w:rsid w:val="00A476E0"/>
    <w:rsid w:val="00A47EAE"/>
    <w:rsid w:val="00A50148"/>
    <w:rsid w:val="00A51FF6"/>
    <w:rsid w:val="00A52B04"/>
    <w:rsid w:val="00A54587"/>
    <w:rsid w:val="00A56530"/>
    <w:rsid w:val="00A5662A"/>
    <w:rsid w:val="00A575E5"/>
    <w:rsid w:val="00A610C7"/>
    <w:rsid w:val="00A65BE6"/>
    <w:rsid w:val="00A6791D"/>
    <w:rsid w:val="00A71BC1"/>
    <w:rsid w:val="00A8184B"/>
    <w:rsid w:val="00A824B3"/>
    <w:rsid w:val="00A83CAF"/>
    <w:rsid w:val="00A86B2F"/>
    <w:rsid w:val="00A91111"/>
    <w:rsid w:val="00AA019D"/>
    <w:rsid w:val="00AA4CB7"/>
    <w:rsid w:val="00AB1F7F"/>
    <w:rsid w:val="00AC2349"/>
    <w:rsid w:val="00AC46A6"/>
    <w:rsid w:val="00AC5A94"/>
    <w:rsid w:val="00AC79E2"/>
    <w:rsid w:val="00AD6976"/>
    <w:rsid w:val="00AE1CAC"/>
    <w:rsid w:val="00AE2E93"/>
    <w:rsid w:val="00AE45C5"/>
    <w:rsid w:val="00AE59E5"/>
    <w:rsid w:val="00AE60DB"/>
    <w:rsid w:val="00AE661F"/>
    <w:rsid w:val="00AE7392"/>
    <w:rsid w:val="00AE7C37"/>
    <w:rsid w:val="00AF12AE"/>
    <w:rsid w:val="00AF176D"/>
    <w:rsid w:val="00AF2CB5"/>
    <w:rsid w:val="00AF3756"/>
    <w:rsid w:val="00AF4D25"/>
    <w:rsid w:val="00AF5A8D"/>
    <w:rsid w:val="00AF7482"/>
    <w:rsid w:val="00AF7664"/>
    <w:rsid w:val="00B0219D"/>
    <w:rsid w:val="00B02FCB"/>
    <w:rsid w:val="00B06203"/>
    <w:rsid w:val="00B065D6"/>
    <w:rsid w:val="00B14C4A"/>
    <w:rsid w:val="00B1529F"/>
    <w:rsid w:val="00B156E9"/>
    <w:rsid w:val="00B21EEA"/>
    <w:rsid w:val="00B2523E"/>
    <w:rsid w:val="00B2667E"/>
    <w:rsid w:val="00B26ECA"/>
    <w:rsid w:val="00B304B2"/>
    <w:rsid w:val="00B35BAE"/>
    <w:rsid w:val="00B3677B"/>
    <w:rsid w:val="00B3703E"/>
    <w:rsid w:val="00B375D3"/>
    <w:rsid w:val="00B37710"/>
    <w:rsid w:val="00B42125"/>
    <w:rsid w:val="00B46297"/>
    <w:rsid w:val="00B52BBA"/>
    <w:rsid w:val="00B52CE0"/>
    <w:rsid w:val="00B52E09"/>
    <w:rsid w:val="00B5468A"/>
    <w:rsid w:val="00B54C5A"/>
    <w:rsid w:val="00B61572"/>
    <w:rsid w:val="00B61684"/>
    <w:rsid w:val="00B66BE4"/>
    <w:rsid w:val="00B721E7"/>
    <w:rsid w:val="00B72DB5"/>
    <w:rsid w:val="00B7628C"/>
    <w:rsid w:val="00B763C1"/>
    <w:rsid w:val="00B81FA9"/>
    <w:rsid w:val="00B8715B"/>
    <w:rsid w:val="00B90213"/>
    <w:rsid w:val="00B92681"/>
    <w:rsid w:val="00B96896"/>
    <w:rsid w:val="00B9784E"/>
    <w:rsid w:val="00BA2D1A"/>
    <w:rsid w:val="00BA70AA"/>
    <w:rsid w:val="00BB18AD"/>
    <w:rsid w:val="00BB2522"/>
    <w:rsid w:val="00BB6B68"/>
    <w:rsid w:val="00BC0BC2"/>
    <w:rsid w:val="00BC1348"/>
    <w:rsid w:val="00BC4B56"/>
    <w:rsid w:val="00BD07B3"/>
    <w:rsid w:val="00BD2FC5"/>
    <w:rsid w:val="00BD7ABC"/>
    <w:rsid w:val="00BE13EB"/>
    <w:rsid w:val="00BE6ADA"/>
    <w:rsid w:val="00BF17C9"/>
    <w:rsid w:val="00BF276B"/>
    <w:rsid w:val="00BF372B"/>
    <w:rsid w:val="00BF4BB7"/>
    <w:rsid w:val="00BF58C2"/>
    <w:rsid w:val="00C022AB"/>
    <w:rsid w:val="00C05916"/>
    <w:rsid w:val="00C111DD"/>
    <w:rsid w:val="00C122F7"/>
    <w:rsid w:val="00C12A46"/>
    <w:rsid w:val="00C1416D"/>
    <w:rsid w:val="00C215AB"/>
    <w:rsid w:val="00C244B6"/>
    <w:rsid w:val="00C24A8E"/>
    <w:rsid w:val="00C24B2B"/>
    <w:rsid w:val="00C25E5B"/>
    <w:rsid w:val="00C2734E"/>
    <w:rsid w:val="00C277D8"/>
    <w:rsid w:val="00C343AF"/>
    <w:rsid w:val="00C34CA8"/>
    <w:rsid w:val="00C424B0"/>
    <w:rsid w:val="00C44220"/>
    <w:rsid w:val="00C4471A"/>
    <w:rsid w:val="00C44F7E"/>
    <w:rsid w:val="00C543C0"/>
    <w:rsid w:val="00C544E3"/>
    <w:rsid w:val="00C56232"/>
    <w:rsid w:val="00C57530"/>
    <w:rsid w:val="00C64061"/>
    <w:rsid w:val="00C64EB7"/>
    <w:rsid w:val="00C664F7"/>
    <w:rsid w:val="00C70F31"/>
    <w:rsid w:val="00C713AE"/>
    <w:rsid w:val="00C74065"/>
    <w:rsid w:val="00C75BA0"/>
    <w:rsid w:val="00C81906"/>
    <w:rsid w:val="00C82037"/>
    <w:rsid w:val="00C8326F"/>
    <w:rsid w:val="00C83756"/>
    <w:rsid w:val="00C83F8E"/>
    <w:rsid w:val="00C84C85"/>
    <w:rsid w:val="00C9361D"/>
    <w:rsid w:val="00C94498"/>
    <w:rsid w:val="00CA1EAF"/>
    <w:rsid w:val="00CA3E6A"/>
    <w:rsid w:val="00CA79C3"/>
    <w:rsid w:val="00CB0812"/>
    <w:rsid w:val="00CB158D"/>
    <w:rsid w:val="00CB49EB"/>
    <w:rsid w:val="00CB6153"/>
    <w:rsid w:val="00CC5F0E"/>
    <w:rsid w:val="00CC6FA8"/>
    <w:rsid w:val="00CC7411"/>
    <w:rsid w:val="00CD37BD"/>
    <w:rsid w:val="00CD4224"/>
    <w:rsid w:val="00CD59CC"/>
    <w:rsid w:val="00CD5B54"/>
    <w:rsid w:val="00CD7286"/>
    <w:rsid w:val="00CE368E"/>
    <w:rsid w:val="00CE631A"/>
    <w:rsid w:val="00CF1481"/>
    <w:rsid w:val="00CF3BAB"/>
    <w:rsid w:val="00CF4B0E"/>
    <w:rsid w:val="00CF4C11"/>
    <w:rsid w:val="00CF5E9B"/>
    <w:rsid w:val="00D051E1"/>
    <w:rsid w:val="00D11B31"/>
    <w:rsid w:val="00D11D78"/>
    <w:rsid w:val="00D14BE2"/>
    <w:rsid w:val="00D2232B"/>
    <w:rsid w:val="00D2344E"/>
    <w:rsid w:val="00D246B4"/>
    <w:rsid w:val="00D274DC"/>
    <w:rsid w:val="00D30337"/>
    <w:rsid w:val="00D3222B"/>
    <w:rsid w:val="00D36D5D"/>
    <w:rsid w:val="00D37AAD"/>
    <w:rsid w:val="00D37EFB"/>
    <w:rsid w:val="00D4701D"/>
    <w:rsid w:val="00D473AA"/>
    <w:rsid w:val="00D5365C"/>
    <w:rsid w:val="00D54C3B"/>
    <w:rsid w:val="00D66FB6"/>
    <w:rsid w:val="00D67EEC"/>
    <w:rsid w:val="00D73137"/>
    <w:rsid w:val="00D75FA0"/>
    <w:rsid w:val="00D82EF7"/>
    <w:rsid w:val="00D94C7D"/>
    <w:rsid w:val="00DA1C21"/>
    <w:rsid w:val="00DB01DB"/>
    <w:rsid w:val="00DB69A6"/>
    <w:rsid w:val="00DB7177"/>
    <w:rsid w:val="00DC0FA3"/>
    <w:rsid w:val="00DD3720"/>
    <w:rsid w:val="00DD454B"/>
    <w:rsid w:val="00DD46CD"/>
    <w:rsid w:val="00DE1888"/>
    <w:rsid w:val="00DE7883"/>
    <w:rsid w:val="00DF6373"/>
    <w:rsid w:val="00E00314"/>
    <w:rsid w:val="00E0098B"/>
    <w:rsid w:val="00E06F4F"/>
    <w:rsid w:val="00E0761D"/>
    <w:rsid w:val="00E1154D"/>
    <w:rsid w:val="00E15B29"/>
    <w:rsid w:val="00E16029"/>
    <w:rsid w:val="00E160F9"/>
    <w:rsid w:val="00E16317"/>
    <w:rsid w:val="00E224CF"/>
    <w:rsid w:val="00E22DF8"/>
    <w:rsid w:val="00E2534E"/>
    <w:rsid w:val="00E3054D"/>
    <w:rsid w:val="00E40EC0"/>
    <w:rsid w:val="00E4259A"/>
    <w:rsid w:val="00E44F57"/>
    <w:rsid w:val="00E45CA3"/>
    <w:rsid w:val="00E46C9F"/>
    <w:rsid w:val="00E526FE"/>
    <w:rsid w:val="00E52FD0"/>
    <w:rsid w:val="00E54232"/>
    <w:rsid w:val="00E6309D"/>
    <w:rsid w:val="00E63756"/>
    <w:rsid w:val="00E6672A"/>
    <w:rsid w:val="00E710FB"/>
    <w:rsid w:val="00E72F87"/>
    <w:rsid w:val="00E7361F"/>
    <w:rsid w:val="00E74494"/>
    <w:rsid w:val="00E80CD0"/>
    <w:rsid w:val="00E81DF1"/>
    <w:rsid w:val="00E8268F"/>
    <w:rsid w:val="00E84D54"/>
    <w:rsid w:val="00E8613A"/>
    <w:rsid w:val="00E870D7"/>
    <w:rsid w:val="00EA2E71"/>
    <w:rsid w:val="00EA6FD1"/>
    <w:rsid w:val="00EA7857"/>
    <w:rsid w:val="00EB3379"/>
    <w:rsid w:val="00EB4C7B"/>
    <w:rsid w:val="00EC0E70"/>
    <w:rsid w:val="00EC29F5"/>
    <w:rsid w:val="00EC393C"/>
    <w:rsid w:val="00EC5AFF"/>
    <w:rsid w:val="00EC706D"/>
    <w:rsid w:val="00ED0016"/>
    <w:rsid w:val="00ED20B8"/>
    <w:rsid w:val="00ED230F"/>
    <w:rsid w:val="00ED67E6"/>
    <w:rsid w:val="00EE31AB"/>
    <w:rsid w:val="00EE421E"/>
    <w:rsid w:val="00EE6637"/>
    <w:rsid w:val="00EF01D9"/>
    <w:rsid w:val="00EF7965"/>
    <w:rsid w:val="00F01E90"/>
    <w:rsid w:val="00F0259D"/>
    <w:rsid w:val="00F049E3"/>
    <w:rsid w:val="00F064B3"/>
    <w:rsid w:val="00F064CB"/>
    <w:rsid w:val="00F06829"/>
    <w:rsid w:val="00F119D6"/>
    <w:rsid w:val="00F11D8A"/>
    <w:rsid w:val="00F14EC2"/>
    <w:rsid w:val="00F1670D"/>
    <w:rsid w:val="00F2116C"/>
    <w:rsid w:val="00F21FA2"/>
    <w:rsid w:val="00F22B3A"/>
    <w:rsid w:val="00F24AFC"/>
    <w:rsid w:val="00F2668A"/>
    <w:rsid w:val="00F27008"/>
    <w:rsid w:val="00F27837"/>
    <w:rsid w:val="00F30AF5"/>
    <w:rsid w:val="00F31FE9"/>
    <w:rsid w:val="00F3734F"/>
    <w:rsid w:val="00F41B61"/>
    <w:rsid w:val="00F42C98"/>
    <w:rsid w:val="00F44780"/>
    <w:rsid w:val="00F50DCF"/>
    <w:rsid w:val="00F515AA"/>
    <w:rsid w:val="00F53CBB"/>
    <w:rsid w:val="00F540B0"/>
    <w:rsid w:val="00F600CC"/>
    <w:rsid w:val="00F63B45"/>
    <w:rsid w:val="00F7160D"/>
    <w:rsid w:val="00F735CC"/>
    <w:rsid w:val="00F745A9"/>
    <w:rsid w:val="00F7597F"/>
    <w:rsid w:val="00F85CAF"/>
    <w:rsid w:val="00F91E4B"/>
    <w:rsid w:val="00F92C3E"/>
    <w:rsid w:val="00F92F07"/>
    <w:rsid w:val="00F961AB"/>
    <w:rsid w:val="00FB1578"/>
    <w:rsid w:val="00FB43A8"/>
    <w:rsid w:val="00FB6DFE"/>
    <w:rsid w:val="00FC0F1C"/>
    <w:rsid w:val="00FC188B"/>
    <w:rsid w:val="00FC20A6"/>
    <w:rsid w:val="00FC2A52"/>
    <w:rsid w:val="00FC6ECB"/>
    <w:rsid w:val="00FC7223"/>
    <w:rsid w:val="00FD0B9E"/>
    <w:rsid w:val="00FD4F3B"/>
    <w:rsid w:val="00FD6937"/>
    <w:rsid w:val="00FD6D72"/>
    <w:rsid w:val="00FD7EAA"/>
    <w:rsid w:val="00FE3AFD"/>
    <w:rsid w:val="00FF7F01"/>
    <w:rsid w:val="02EF77E1"/>
    <w:rsid w:val="097D77B1"/>
    <w:rsid w:val="0B850B13"/>
    <w:rsid w:val="181744EC"/>
    <w:rsid w:val="18F66740"/>
    <w:rsid w:val="19774B25"/>
    <w:rsid w:val="1E9D3545"/>
    <w:rsid w:val="1FAA405D"/>
    <w:rsid w:val="27963766"/>
    <w:rsid w:val="335052A6"/>
    <w:rsid w:val="33C95FC8"/>
    <w:rsid w:val="370D4637"/>
    <w:rsid w:val="395D4BC5"/>
    <w:rsid w:val="3B0C0016"/>
    <w:rsid w:val="40D0669B"/>
    <w:rsid w:val="4F941924"/>
    <w:rsid w:val="4FE912AB"/>
    <w:rsid w:val="58B92870"/>
    <w:rsid w:val="5F4A3EA1"/>
    <w:rsid w:val="61467436"/>
    <w:rsid w:val="63702F6A"/>
    <w:rsid w:val="6A031A80"/>
    <w:rsid w:val="6A4E7D7B"/>
    <w:rsid w:val="6B165BFB"/>
    <w:rsid w:val="74113A75"/>
    <w:rsid w:val="7F01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7697"/>
  <w15:chartTrackingRefBased/>
  <w15:docId w15:val="{BCAEA015-3215-4CF5-9E02-AA65EDF7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lang w:val="vi-VN"/>
    </w:rPr>
  </w:style>
  <w:style w:type="paragraph" w:styleId="Heading1">
    <w:name w:val="heading 1"/>
    <w:basedOn w:val="Normal"/>
    <w:next w:val="Normal"/>
    <w:link w:val="Heading1Char"/>
    <w:uiPriority w:val="9"/>
    <w:qFormat/>
    <w:rsid w:val="007D32A3"/>
    <w:pPr>
      <w:spacing w:before="120" w:after="120" w:line="240" w:lineRule="auto"/>
      <w:outlineLvl w:val="0"/>
    </w:pPr>
    <w:rPr>
      <w:rFonts w:eastAsia="Calibri"/>
      <w:b/>
      <w:color w:val="002060"/>
      <w:szCs w:val="24"/>
      <w:lang w:val="en-US"/>
    </w:rPr>
  </w:style>
  <w:style w:type="paragraph" w:styleId="Heading4">
    <w:name w:val="heading 4"/>
    <w:basedOn w:val="Normal"/>
    <w:next w:val="Normal"/>
    <w:link w:val="Heading4Char"/>
    <w:uiPriority w:val="9"/>
    <w:qFormat/>
    <w:pPr>
      <w:keepNext/>
      <w:keepLines/>
      <w:spacing w:before="40" w:after="0" w:line="254" w:lineRule="auto"/>
      <w:outlineLvl w:val="3"/>
    </w:pPr>
    <w:rPr>
      <w:rFonts w:ascii="Cambria" w:eastAsia="Times New Roman" w:hAnsi="Cambria"/>
      <w:i/>
      <w:iCs/>
      <w:color w:val="365F9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Pr>
      <w:rFonts w:ascii="Cambria" w:eastAsia="Times New Roman" w:hAnsi="Cambria"/>
      <w:i/>
      <w:iCs/>
      <w:color w:val="365F91"/>
      <w:sz w:val="22"/>
      <w:szCs w:val="22"/>
    </w:rPr>
  </w:style>
  <w:style w:type="paragraph" w:styleId="BalloonText">
    <w:name w:val="Balloon Text"/>
    <w:basedOn w:val="Normal"/>
    <w:link w:val="BalloonTextChar"/>
    <w:uiPriority w:val="99"/>
    <w:unhideWhenUsed/>
    <w:pPr>
      <w:spacing w:after="0" w:line="240" w:lineRule="auto"/>
    </w:pPr>
    <w:rPr>
      <w:rFonts w:ascii="Segoe UI" w:hAnsi="Segoe UI"/>
      <w:sz w:val="18"/>
      <w:szCs w:val="18"/>
    </w:rPr>
  </w:style>
  <w:style w:type="character" w:customStyle="1" w:styleId="BalloonTextChar">
    <w:name w:val="Balloon Text Char"/>
    <w:link w:val="BalloonText"/>
    <w:uiPriority w:val="99"/>
    <w:semiHidden/>
    <w:rPr>
      <w:rFonts w:ascii="Segoe UI" w:hAnsi="Segoe UI" w:cs="Segoe UI"/>
      <w:sz w:val="18"/>
      <w:szCs w:val="18"/>
      <w:lang w:val="vi-VN"/>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link w:val="BodyTextIndent"/>
    <w:uiPriority w:val="99"/>
    <w:semiHidden/>
    <w:rPr>
      <w:sz w:val="24"/>
      <w:szCs w:val="22"/>
      <w:lang w:val="vi-VN"/>
    </w:rPr>
  </w:style>
  <w:style w:type="paragraph" w:styleId="BodyTextIndent2">
    <w:name w:val="Body Text Indent 2"/>
    <w:basedOn w:val="Normal"/>
    <w:link w:val="BodyTextIndent2Char"/>
    <w:pPr>
      <w:spacing w:before="120" w:after="0" w:line="320" w:lineRule="exact"/>
      <w:ind w:firstLine="720"/>
      <w:jc w:val="both"/>
    </w:pPr>
    <w:rPr>
      <w:rFonts w:ascii=".VnTime" w:hAnsi=".VnTime"/>
      <w:i/>
      <w:iCs/>
      <w:sz w:val="28"/>
      <w:szCs w:val="28"/>
    </w:rPr>
  </w:style>
  <w:style w:type="character" w:customStyle="1" w:styleId="BodyTextIndent2Char">
    <w:name w:val="Body Text Indent 2 Char"/>
    <w:link w:val="BodyTextIndent2"/>
    <w:locked/>
    <w:rPr>
      <w:rFonts w:ascii=".VnTime" w:hAnsi=".VnTime"/>
      <w:i/>
      <w:iCs/>
      <w:sz w:val="28"/>
      <w:szCs w:val="28"/>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val="vi-VN"/>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lang w:val="vi-VN"/>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sz w:val="22"/>
    </w:rPr>
  </w:style>
  <w:style w:type="character" w:customStyle="1" w:styleId="FooterChar">
    <w:name w:val="Footer Char"/>
    <w:link w:val="Footer"/>
    <w:uiPriority w:val="99"/>
    <w:rPr>
      <w:rFonts w:ascii="Calibri" w:eastAsia="Times New Roman" w:hAnsi="Calibri"/>
      <w:sz w:val="22"/>
      <w:szCs w:val="22"/>
    </w:rPr>
  </w:style>
  <w:style w:type="character" w:styleId="FootnoteReference">
    <w:name w:val="footnote reference"/>
    <w:unhideWhenUsed/>
    <w:qFormat/>
    <w:rPr>
      <w:vertAlign w:val="superscript"/>
    </w:rPr>
  </w:style>
  <w:style w:type="paragraph" w:styleId="FootnoteText">
    <w:name w:val="footnote text"/>
    <w:basedOn w:val="Normal"/>
    <w:link w:val="FootnoteTextChar"/>
    <w:unhideWhenUsed/>
    <w:pPr>
      <w:spacing w:after="0" w:line="240" w:lineRule="auto"/>
      <w:jc w:val="both"/>
    </w:pPr>
    <w:rPr>
      <w:rFonts w:ascii="Calibri" w:hAnsi="Calibri"/>
      <w:sz w:val="20"/>
      <w:szCs w:val="20"/>
    </w:rPr>
  </w:style>
  <w:style w:type="character" w:customStyle="1" w:styleId="FootnoteTextChar">
    <w:name w:val="Footnote Text Char"/>
    <w:link w:val="FootnoteText"/>
    <w:rPr>
      <w:rFonts w:ascii="Calibri" w:hAnsi="Calibri"/>
    </w:rPr>
  </w:style>
  <w:style w:type="paragraph" w:styleId="Header">
    <w:name w:val="header"/>
    <w:basedOn w:val="Normal"/>
    <w:link w:val="HeaderChar"/>
    <w:uiPriority w:val="99"/>
    <w:unhideWhenUsed/>
    <w:qFormat/>
    <w:pPr>
      <w:tabs>
        <w:tab w:val="center" w:pos="4320"/>
        <w:tab w:val="right" w:pos="8640"/>
      </w:tabs>
      <w:spacing w:after="0" w:line="240" w:lineRule="auto"/>
    </w:pPr>
    <w:rPr>
      <w:rFonts w:ascii="VNI-Times" w:eastAsia="Times New Roman" w:hAnsi="VNI-Times"/>
      <w:szCs w:val="24"/>
    </w:rPr>
  </w:style>
  <w:style w:type="character" w:customStyle="1" w:styleId="HeaderChar">
    <w:name w:val="Header Char"/>
    <w:link w:val="Header"/>
    <w:uiPriority w:val="99"/>
    <w:qFormat/>
    <w:rPr>
      <w:rFonts w:ascii="VNI-Times" w:eastAsia="Times New Roman" w:hAnsi="VNI-Times"/>
      <w:sz w:val="24"/>
      <w:szCs w:val="24"/>
    </w:rPr>
  </w:style>
  <w:style w:type="character" w:styleId="Hyperlink">
    <w:name w:val="Hyperlink"/>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Cs w:val="24"/>
    </w:rPr>
  </w:style>
  <w:style w:type="character" w:customStyle="1" w:styleId="NormalWebChar">
    <w:name w:val="Normal (Web) Char"/>
    <w:link w:val="NormalWeb"/>
    <w:uiPriority w:val="99"/>
    <w:locked/>
    <w:rPr>
      <w:rFonts w:eastAsia="Times New Roman"/>
      <w:sz w:val="24"/>
      <w:szCs w:val="24"/>
    </w:rPr>
  </w:style>
  <w:style w:type="character" w:styleId="Strong">
    <w:name w:val="Strong"/>
    <w:uiPriority w:val="22"/>
    <w:qFormat/>
    <w:rPr>
      <w:b/>
      <w:bC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next w:val="Normal"/>
    <w:semiHidden/>
    <w:pPr>
      <w:spacing w:before="120" w:after="120" w:line="312" w:lineRule="auto"/>
    </w:pPr>
    <w:rPr>
      <w:sz w:val="28"/>
      <w:lang w:val="en-US"/>
    </w:rPr>
  </w:style>
  <w:style w:type="paragraph" w:customStyle="1" w:styleId="CharCharCharCharCharCharChar">
    <w:name w:val="Char Char Char Char Char Char Char"/>
    <w:basedOn w:val="Normal"/>
    <w:next w:val="Normal"/>
    <w:semiHidden/>
    <w:pPr>
      <w:spacing w:before="120" w:after="120" w:line="312" w:lineRule="auto"/>
    </w:pPr>
    <w:rPr>
      <w:rFonts w:eastAsia="Times New Roman"/>
      <w:sz w:val="28"/>
      <w:szCs w:val="28"/>
      <w:lang w:val="en-US"/>
    </w:rPr>
  </w:style>
  <w:style w:type="character" w:customStyle="1" w:styleId="FootnoteTextChar1">
    <w:name w:val="Footnote Text Char1"/>
    <w:uiPriority w:val="99"/>
    <w:semiHidden/>
    <w:rPr>
      <w:lang w:val="vi-VN"/>
    </w:rPr>
  </w:style>
  <w:style w:type="character" w:customStyle="1" w:styleId="HeaderChar1">
    <w:name w:val="Header Char1"/>
    <w:uiPriority w:val="99"/>
    <w:semiHidden/>
    <w:rPr>
      <w:sz w:val="24"/>
      <w:szCs w:val="22"/>
      <w:lang w:val="vi-VN"/>
    </w:rPr>
  </w:style>
  <w:style w:type="character" w:customStyle="1" w:styleId="link">
    <w:name w:val="link"/>
  </w:style>
  <w:style w:type="paragraph" w:customStyle="1" w:styleId="ws-p">
    <w:name w:val="ws-p"/>
    <w:basedOn w:val="Normal"/>
    <w:pPr>
      <w:spacing w:before="100" w:beforeAutospacing="1" w:after="100" w:afterAutospacing="1" w:line="240" w:lineRule="auto"/>
    </w:pPr>
    <w:rPr>
      <w:rFonts w:eastAsia="Times New Roman"/>
      <w:szCs w:val="24"/>
      <w:lang w:val="en-US"/>
    </w:rPr>
  </w:style>
  <w:style w:type="character" w:customStyle="1" w:styleId="text">
    <w:name w:val="text"/>
  </w:style>
  <w:style w:type="character" w:customStyle="1" w:styleId="BodyTextIndent2Char1">
    <w:name w:val="Body Text Indent 2 Char1"/>
    <w:uiPriority w:val="99"/>
    <w:semiHidden/>
    <w:rPr>
      <w:sz w:val="24"/>
      <w:szCs w:val="22"/>
      <w:lang w:val="vi-VN"/>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00" w:line="269" w:lineRule="auto"/>
      <w:ind w:firstLine="400"/>
    </w:pPr>
    <w:rPr>
      <w:sz w:val="20"/>
      <w:szCs w:val="20"/>
      <w:lang w:val="en-US"/>
    </w:rPr>
  </w:style>
  <w:style w:type="paragraph" w:customStyle="1" w:styleId="legend-title">
    <w:name w:val="legend-title"/>
    <w:basedOn w:val="Normal"/>
    <w:pPr>
      <w:spacing w:before="100" w:beforeAutospacing="1" w:after="100" w:afterAutospacing="1" w:line="240" w:lineRule="auto"/>
    </w:pPr>
    <w:rPr>
      <w:rFonts w:eastAsia="Times New Roman"/>
      <w:szCs w:val="24"/>
      <w:lang w:val="en-US"/>
    </w:rPr>
  </w:style>
  <w:style w:type="character" w:customStyle="1" w:styleId="emoji-sizer">
    <w:name w:val="emoji-size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lang w:val="en-US"/>
    </w:rPr>
  </w:style>
  <w:style w:type="character" w:customStyle="1" w:styleId="Heading2">
    <w:name w:val="Heading #2_"/>
    <w:link w:val="Heading20"/>
    <w:uiPriority w:val="99"/>
    <w:rPr>
      <w:b/>
      <w:bCs/>
      <w:sz w:val="28"/>
      <w:szCs w:val="28"/>
      <w:shd w:val="clear" w:color="auto" w:fill="FFFFFF"/>
    </w:rPr>
  </w:style>
  <w:style w:type="paragraph" w:customStyle="1" w:styleId="Heading20">
    <w:name w:val="Heading #2"/>
    <w:basedOn w:val="Normal"/>
    <w:link w:val="Heading2"/>
    <w:uiPriority w:val="99"/>
    <w:pPr>
      <w:widowControl w:val="0"/>
      <w:shd w:val="clear" w:color="auto" w:fill="FFFFFF"/>
      <w:spacing w:after="120" w:line="240" w:lineRule="auto"/>
      <w:outlineLvl w:val="1"/>
    </w:pPr>
    <w:rPr>
      <w:b/>
      <w:bCs/>
      <w:sz w:val="28"/>
      <w:szCs w:val="28"/>
    </w:rPr>
  </w:style>
  <w:style w:type="character" w:customStyle="1" w:styleId="BodyText1">
    <w:name w:val="Body Text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
    <w:name w:val="Body text_"/>
    <w:link w:val="BodyText4"/>
    <w:rPr>
      <w:rFonts w:eastAsia="Times New Roman"/>
      <w:sz w:val="25"/>
      <w:szCs w:val="25"/>
      <w:shd w:val="clear" w:color="auto" w:fill="FFFFFF"/>
    </w:rPr>
  </w:style>
  <w:style w:type="paragraph" w:customStyle="1" w:styleId="BodyText4">
    <w:name w:val="Body Text4"/>
    <w:basedOn w:val="Normal"/>
    <w:link w:val="Bodytext"/>
    <w:pPr>
      <w:widowControl w:val="0"/>
      <w:shd w:val="clear" w:color="auto" w:fill="FFFFFF"/>
      <w:spacing w:before="240" w:after="0" w:line="0" w:lineRule="atLeast"/>
    </w:pPr>
    <w:rPr>
      <w:rFonts w:eastAsia="Times New Roman"/>
      <w:sz w:val="25"/>
      <w:szCs w:val="25"/>
      <w:lang w:val="en-US"/>
    </w:rPr>
  </w:style>
  <w:style w:type="character" w:styleId="Emphasis">
    <w:name w:val="Emphasis"/>
    <w:basedOn w:val="DefaultParagraphFont"/>
    <w:uiPriority w:val="20"/>
    <w:qFormat/>
    <w:rsid w:val="0042184C"/>
    <w:rPr>
      <w:i/>
      <w:iCs/>
    </w:rPr>
  </w:style>
  <w:style w:type="paragraph" w:styleId="Title">
    <w:name w:val="Title"/>
    <w:basedOn w:val="Normal"/>
    <w:next w:val="Normal"/>
    <w:link w:val="TitleChar"/>
    <w:uiPriority w:val="10"/>
    <w:qFormat/>
    <w:rsid w:val="007D32A3"/>
    <w:pPr>
      <w:spacing w:before="120" w:after="0" w:line="240" w:lineRule="auto"/>
      <w:jc w:val="center"/>
    </w:pPr>
    <w:rPr>
      <w:rFonts w:eastAsia="Calibri"/>
      <w:b/>
      <w:color w:val="002060"/>
      <w:szCs w:val="24"/>
      <w:lang w:val="en-US"/>
    </w:rPr>
  </w:style>
  <w:style w:type="character" w:customStyle="1" w:styleId="TitleChar">
    <w:name w:val="Title Char"/>
    <w:basedOn w:val="DefaultParagraphFont"/>
    <w:link w:val="Title"/>
    <w:uiPriority w:val="10"/>
    <w:rsid w:val="007D32A3"/>
    <w:rPr>
      <w:rFonts w:eastAsia="Calibri"/>
      <w:b/>
      <w:color w:val="002060"/>
      <w:sz w:val="24"/>
      <w:szCs w:val="24"/>
    </w:rPr>
  </w:style>
  <w:style w:type="character" w:customStyle="1" w:styleId="Heading1Char">
    <w:name w:val="Heading 1 Char"/>
    <w:basedOn w:val="DefaultParagraphFont"/>
    <w:link w:val="Heading1"/>
    <w:uiPriority w:val="9"/>
    <w:rsid w:val="007D32A3"/>
    <w:rPr>
      <w:rFonts w:eastAsia="Calibri"/>
      <w:b/>
      <w:color w:val="002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2122</CharactersWithSpaces>
  <SharedDoc>false</SharedDoc>
  <HLinks>
    <vt:vector size="54" baseType="variant">
      <vt:variant>
        <vt:i4>3932276</vt:i4>
      </vt:variant>
      <vt:variant>
        <vt:i4>24</vt:i4>
      </vt:variant>
      <vt:variant>
        <vt:i4>0</vt:i4>
      </vt:variant>
      <vt:variant>
        <vt:i4>5</vt:i4>
      </vt:variant>
      <vt:variant>
        <vt:lpwstr>https://thuvienphapluat.vn/van-ban/giao-duc/quyet-dinh-53-2015-qd-ttg-chinh-sach-noi-tru-hoc-sinh-sinh-vien-hoc-cao-dang-trung-cap-294053.aspx</vt:lpwstr>
      </vt:variant>
      <vt:variant>
        <vt:lpwstr/>
      </vt:variant>
      <vt:variant>
        <vt:i4>3932276</vt:i4>
      </vt:variant>
      <vt:variant>
        <vt:i4>21</vt:i4>
      </vt:variant>
      <vt:variant>
        <vt:i4>0</vt:i4>
      </vt:variant>
      <vt:variant>
        <vt:i4>5</vt:i4>
      </vt:variant>
      <vt:variant>
        <vt:lpwstr>https://thuvienphapluat.vn/van-ban/giao-duc/quyet-dinh-53-2015-qd-ttg-chinh-sach-noi-tru-hoc-sinh-sinh-vien-hoc-cao-dang-trung-cap-294053.aspx</vt:lpwstr>
      </vt:variant>
      <vt:variant>
        <vt:lpwstr/>
      </vt:variant>
      <vt:variant>
        <vt:i4>3932276</vt:i4>
      </vt:variant>
      <vt:variant>
        <vt:i4>18</vt:i4>
      </vt:variant>
      <vt:variant>
        <vt:i4>0</vt:i4>
      </vt:variant>
      <vt:variant>
        <vt:i4>5</vt:i4>
      </vt:variant>
      <vt:variant>
        <vt:lpwstr>https://thuvienphapluat.vn/van-ban/giao-duc/quyet-dinh-53-2015-qd-ttg-chinh-sach-noi-tru-hoc-sinh-sinh-vien-hoc-cao-dang-trung-cap-294053.aspx</vt:lpwstr>
      </vt:variant>
      <vt:variant>
        <vt:lpwstr/>
      </vt:variant>
      <vt:variant>
        <vt:i4>3932276</vt:i4>
      </vt:variant>
      <vt:variant>
        <vt:i4>15</vt:i4>
      </vt:variant>
      <vt:variant>
        <vt:i4>0</vt:i4>
      </vt:variant>
      <vt:variant>
        <vt:i4>5</vt:i4>
      </vt:variant>
      <vt:variant>
        <vt:lpwstr>https://thuvienphapluat.vn/van-ban/giao-duc/quyet-dinh-53-2015-qd-ttg-chinh-sach-noi-tru-hoc-sinh-sinh-vien-hoc-cao-dang-trung-cap-294053.aspx</vt:lpwstr>
      </vt:variant>
      <vt:variant>
        <vt:lpwstr/>
      </vt:variant>
      <vt:variant>
        <vt:i4>2687090</vt:i4>
      </vt:variant>
      <vt:variant>
        <vt:i4>12</vt:i4>
      </vt:variant>
      <vt:variant>
        <vt:i4>0</vt:i4>
      </vt:variant>
      <vt:variant>
        <vt:i4>5</vt:i4>
      </vt:variant>
      <vt:variant>
        <vt:lpwstr>https://dichvucong.tayninh.gov.vn/</vt:lpwstr>
      </vt:variant>
      <vt:variant>
        <vt:lpwstr/>
      </vt:variant>
      <vt:variant>
        <vt:i4>2424893</vt:i4>
      </vt:variant>
      <vt:variant>
        <vt:i4>9</vt:i4>
      </vt:variant>
      <vt:variant>
        <vt:i4>0</vt:i4>
      </vt:variant>
      <vt:variant>
        <vt:i4>5</vt:i4>
      </vt:variant>
      <vt:variant>
        <vt:lpwstr>https://dichvucong.gov.vn/</vt:lpwstr>
      </vt:variant>
      <vt:variant>
        <vt:lpwstr/>
      </vt:variant>
      <vt:variant>
        <vt:i4>2687090</vt:i4>
      </vt:variant>
      <vt:variant>
        <vt:i4>6</vt:i4>
      </vt:variant>
      <vt:variant>
        <vt:i4>0</vt:i4>
      </vt:variant>
      <vt:variant>
        <vt:i4>5</vt:i4>
      </vt:variant>
      <vt:variant>
        <vt:lpwstr>https://dichvucong.tayninh.gov.vn/</vt:lpwstr>
      </vt:variant>
      <vt:variant>
        <vt:lpwstr/>
      </vt:variant>
      <vt:variant>
        <vt:i4>2424893</vt:i4>
      </vt:variant>
      <vt:variant>
        <vt:i4>3</vt:i4>
      </vt:variant>
      <vt:variant>
        <vt:i4>0</vt:i4>
      </vt:variant>
      <vt:variant>
        <vt:i4>5</vt:i4>
      </vt:variant>
      <vt:variant>
        <vt:lpwstr>https://dichvucong.gov.vn/</vt:lpwstr>
      </vt:variant>
      <vt:variant>
        <vt:lpwstr/>
      </vt:variant>
      <vt:variant>
        <vt:i4>3932276</vt:i4>
      </vt:variant>
      <vt:variant>
        <vt:i4>0</vt:i4>
      </vt:variant>
      <vt:variant>
        <vt:i4>0</vt:i4>
      </vt:variant>
      <vt:variant>
        <vt:i4>5</vt:i4>
      </vt:variant>
      <vt:variant>
        <vt:lpwstr>https://thuvienphapluat.vn/van-ban/giao-duc/quyet-dinh-53-2015-qd-ttg-chinh-sach-noi-tru-hoc-sinh-sinh-vien-hoc-cao-dang-trung-cap-294053.aspx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Lieu Hoang Tuan</cp:lastModifiedBy>
  <cp:revision>3</cp:revision>
  <cp:lastPrinted>2024-02-21T03:19:00Z</cp:lastPrinted>
  <dcterms:created xsi:type="dcterms:W3CDTF">2024-02-21T03:18:00Z</dcterms:created>
  <dcterms:modified xsi:type="dcterms:W3CDTF">2024-02-21T03:19:00Z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00E0111C45414A8291E0FD2F96CBF6C3</vt:lpwstr>
  </property>
</Properties>
</file>